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134BA" w14:textId="38BE5B9E" w:rsidR="0003441C" w:rsidRDefault="0006095B" w:rsidP="0003441C">
      <w:pPr>
        <w:pStyle w:val="Sous-titre"/>
        <w:rPr>
          <w:rFonts w:eastAsia="Times New Roman"/>
          <w:lang w:eastAsia="fr-FR"/>
        </w:rPr>
      </w:pPr>
      <w:r w:rsidRPr="00AD4C4E">
        <w:rPr>
          <w:rFonts w:eastAsia="Times New Roman"/>
          <w:noProof/>
          <w:lang w:eastAsia="fr-FR"/>
        </w:rPr>
        <w:drawing>
          <wp:anchor distT="0" distB="0" distL="114300" distR="114300" simplePos="0" relativeHeight="251659264" behindDoc="0" locked="0" layoutInCell="1" allowOverlap="1" wp14:anchorId="61302C13" wp14:editId="764529FD">
            <wp:simplePos x="0" y="0"/>
            <wp:positionH relativeFrom="column">
              <wp:posOffset>4658995</wp:posOffset>
            </wp:positionH>
            <wp:positionV relativeFrom="paragraph">
              <wp:posOffset>-858520</wp:posOffset>
            </wp:positionV>
            <wp:extent cx="1753235" cy="1572260"/>
            <wp:effectExtent l="0" t="0" r="0" b="8890"/>
            <wp:wrapNone/>
            <wp:docPr id="5" name="Image 4">
              <a:extLst xmlns:a="http://schemas.openxmlformats.org/drawingml/2006/main">
                <a:ext uri="{FF2B5EF4-FFF2-40B4-BE49-F238E27FC236}">
                  <a16:creationId xmlns:a16="http://schemas.microsoft.com/office/drawing/2014/main" id="{8D245471-F3AA-9443-93B7-F0D3C39A19E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8D245471-F3AA-9443-93B7-F0D3C39A19ED}"/>
                        </a:ext>
                      </a:extLst>
                    </pic:cNvPr>
                    <pic:cNvPicPr>
                      <a:picLocks noChangeAspect="1"/>
                    </pic:cNvPicPr>
                  </pic:nvPicPr>
                  <pic:blipFill rotWithShape="1">
                    <a:blip r:embed="rId7"/>
                    <a:srcRect t="17844"/>
                    <a:stretch/>
                  </pic:blipFill>
                  <pic:spPr>
                    <a:xfrm>
                      <a:off x="0" y="0"/>
                      <a:ext cx="1753235" cy="1572260"/>
                    </a:xfrm>
                    <a:prstGeom prst="rect">
                      <a:avLst/>
                    </a:prstGeom>
                  </pic:spPr>
                </pic:pic>
              </a:graphicData>
            </a:graphic>
            <wp14:sizeRelH relativeFrom="margin">
              <wp14:pctWidth>0</wp14:pctWidth>
            </wp14:sizeRelH>
            <wp14:sizeRelV relativeFrom="margin">
              <wp14:pctHeight>0</wp14:pctHeight>
            </wp14:sizeRelV>
          </wp:anchor>
        </w:drawing>
      </w:r>
      <w:r w:rsidRPr="00AD4C4E">
        <w:rPr>
          <w:rFonts w:eastAsia="Times New Roman"/>
          <w:noProof/>
          <w:lang w:eastAsia="fr-FR"/>
        </w:rPr>
        <mc:AlternateContent>
          <mc:Choice Requires="wps">
            <w:drawing>
              <wp:anchor distT="0" distB="0" distL="114300" distR="114300" simplePos="0" relativeHeight="251660288" behindDoc="0" locked="0" layoutInCell="1" allowOverlap="1" wp14:anchorId="77A0204E" wp14:editId="708D42B6">
                <wp:simplePos x="0" y="0"/>
                <wp:positionH relativeFrom="column">
                  <wp:posOffset>4659330</wp:posOffset>
                </wp:positionH>
                <wp:positionV relativeFrom="paragraph">
                  <wp:posOffset>678173</wp:posOffset>
                </wp:positionV>
                <wp:extent cx="1929161" cy="461665"/>
                <wp:effectExtent l="0" t="0" r="0" b="0"/>
                <wp:wrapNone/>
                <wp:docPr id="8" name="ZoneTexte 7">
                  <a:extLst xmlns:a="http://schemas.openxmlformats.org/drawingml/2006/main">
                    <a:ext uri="{FF2B5EF4-FFF2-40B4-BE49-F238E27FC236}">
                      <a16:creationId xmlns:a16="http://schemas.microsoft.com/office/drawing/2014/main" id="{F9DB529B-4603-3F4E-9B59-17CAA98C0390}"/>
                    </a:ext>
                  </a:extLst>
                </wp:docPr>
                <wp:cNvGraphicFramePr/>
                <a:graphic xmlns:a="http://schemas.openxmlformats.org/drawingml/2006/main">
                  <a:graphicData uri="http://schemas.microsoft.com/office/word/2010/wordprocessingShape">
                    <wps:wsp>
                      <wps:cNvSpPr txBox="1"/>
                      <wps:spPr>
                        <a:xfrm>
                          <a:off x="0" y="0"/>
                          <a:ext cx="1929161" cy="461665"/>
                        </a:xfrm>
                        <a:prstGeom prst="rect">
                          <a:avLst/>
                        </a:prstGeom>
                        <a:noFill/>
                      </wps:spPr>
                      <wps:txbx>
                        <w:txbxContent>
                          <w:p w14:paraId="10DABDD0" w14:textId="77777777" w:rsidR="00AD4C4E" w:rsidRDefault="00AD4C4E" w:rsidP="00AD4C4E">
                            <w:pPr>
                              <w:jc w:val="center"/>
                              <w:rPr>
                                <w:rFonts w:ascii="Baloo" w:hAnsi="Baloo" w:cs="Baloo"/>
                                <w:color w:val="0070C0"/>
                                <w:kern w:val="24"/>
                                <w:sz w:val="24"/>
                                <w:szCs w:val="24"/>
                              </w:rPr>
                            </w:pPr>
                            <w:r>
                              <w:rPr>
                                <w:rFonts w:ascii="Baloo" w:hAnsi="Baloo" w:cs="Baloo"/>
                                <w:color w:val="0070C0"/>
                                <w:kern w:val="24"/>
                              </w:rPr>
                              <w:t>Initiative de Recherche aux Urgences</w:t>
                            </w:r>
                          </w:p>
                        </w:txbxContent>
                      </wps:txbx>
                      <wps:bodyPr wrap="square" rtlCol="0">
                        <a:spAutoFit/>
                      </wps:bodyPr>
                    </wps:wsp>
                  </a:graphicData>
                </a:graphic>
                <wp14:sizeRelH relativeFrom="margin">
                  <wp14:pctWidth>0</wp14:pctWidth>
                </wp14:sizeRelH>
                <wp14:sizeRelV relativeFrom="margin">
                  <wp14:pctHeight>0</wp14:pctHeight>
                </wp14:sizeRelV>
              </wp:anchor>
            </w:drawing>
          </mc:Choice>
          <mc:Fallback>
            <w:pict>
              <v:shapetype w14:anchorId="77A0204E" id="_x0000_t202" coordsize="21600,21600" o:spt="202" path="m,l,21600r21600,l21600,xe">
                <v:stroke joinstyle="miter"/>
                <v:path gradientshapeok="t" o:connecttype="rect"/>
              </v:shapetype>
              <v:shape id="ZoneTexte 7" o:spid="_x0000_s1026" type="#_x0000_t202" style="position:absolute;margin-left:366.9pt;margin-top:53.4pt;width:151.9pt;height:3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" filled="f" stroked="f">
                <v:textbox style="mso-fit-shape-to-text:t">
                  <w:txbxContent>
                    <w:p w14:paraId="10DABDD0" w14:textId="77777777" w:rsidR="00AD4C4E" w:rsidRDefault="00AD4C4E" w:rsidP="00AD4C4E">
                      <w:pPr>
                        <w:jc w:val="center"/>
                        <w:rPr>
                          <w:rFonts w:ascii="Baloo" w:hAnsi="Baloo" w:cs="Baloo"/>
                          <w:color w:val="0070C0"/>
                          <w:kern w:val="24"/>
                          <w:sz w:val="24"/>
                          <w:szCs w:val="24"/>
                        </w:rPr>
                      </w:pPr>
                      <w:r>
                        <w:rPr>
                          <w:rFonts w:ascii="Baloo" w:hAnsi="Baloo" w:cs="Baloo"/>
                          <w:color w:val="0070C0"/>
                          <w:kern w:val="24"/>
                        </w:rPr>
                        <w:t>Initiative de Recherche aux Urgences</w:t>
                      </w:r>
                    </w:p>
                  </w:txbxContent>
                </v:textbox>
              </v:shape>
            </w:pict>
          </mc:Fallback>
        </mc:AlternateContent>
      </w:r>
      <w:r w:rsidR="0003441C">
        <w:rPr>
          <w:noProof/>
        </w:rPr>
        <w:drawing>
          <wp:inline distT="0" distB="0" distL="0" distR="0" wp14:anchorId="2A088B65" wp14:editId="4262C4F1">
            <wp:extent cx="1263721" cy="924011"/>
            <wp:effectExtent l="0" t="0" r="0" b="9525"/>
            <wp:docPr id="7" name="Image 6">
              <a:extLst xmlns:a="http://schemas.openxmlformats.org/drawingml/2006/main">
                <a:ext uri="{FF2B5EF4-FFF2-40B4-BE49-F238E27FC236}">
                  <a16:creationId xmlns:a16="http://schemas.microsoft.com/office/drawing/2014/main" id="{3DD6638F-C970-4944-9CFF-F5850DF7D36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6">
                      <a:extLst>
                        <a:ext uri="{FF2B5EF4-FFF2-40B4-BE49-F238E27FC236}">
                          <a16:creationId xmlns:a16="http://schemas.microsoft.com/office/drawing/2014/main" id="{3DD6638F-C970-4944-9CFF-F5850DF7D362}"/>
                        </a:ext>
                      </a:extLst>
                    </pic:cNvPr>
                    <pic:cNvPicPr>
                      <a:picLocks noChangeAspect="1"/>
                    </pic:cNvPicPr>
                  </pic:nvPicPr>
                  <pic:blipFill>
                    <a:blip r:embed="rId8"/>
                    <a:stretch>
                      <a:fillRect/>
                    </a:stretch>
                  </pic:blipFill>
                  <pic:spPr>
                    <a:xfrm>
                      <a:off x="0" y="0"/>
                      <a:ext cx="1270961" cy="929304"/>
                    </a:xfrm>
                    <a:prstGeom prst="rect">
                      <a:avLst/>
                    </a:prstGeom>
                  </pic:spPr>
                </pic:pic>
              </a:graphicData>
            </a:graphic>
          </wp:inline>
        </w:drawing>
      </w:r>
      <w:r w:rsidR="00AD4C4E" w:rsidRPr="00AD4C4E">
        <w:rPr>
          <w:caps w:val="0"/>
          <w:noProof/>
          <w:color w:val="auto"/>
          <w:spacing w:val="0"/>
          <w:sz w:val="20"/>
          <w:szCs w:val="20"/>
        </w:rPr>
        <w:t xml:space="preserve"> </w:t>
      </w:r>
    </w:p>
    <w:p w14:paraId="20DDDA56" w14:textId="576B58F9" w:rsidR="002516D6" w:rsidRPr="0006095B" w:rsidRDefault="000D02E7" w:rsidP="000D02E7">
      <w:pPr>
        <w:pStyle w:val="Titre1"/>
        <w:rPr>
          <w:rFonts w:eastAsia="Times New Roman"/>
          <w:sz w:val="48"/>
          <w:szCs w:val="48"/>
          <w:lang w:eastAsia="fr-FR"/>
        </w:rPr>
      </w:pPr>
      <w:r w:rsidRPr="0006095B">
        <w:rPr>
          <w:rFonts w:eastAsia="Times New Roman"/>
          <w:sz w:val="48"/>
          <w:szCs w:val="48"/>
          <w:lang w:eastAsia="fr-FR"/>
        </w:rPr>
        <w:t>EPI-</w:t>
      </w:r>
      <w:r w:rsidRPr="0006095B">
        <w:rPr>
          <w:rFonts w:eastAsia="Times New Roman"/>
          <w:color w:val="FF0000"/>
          <w:sz w:val="48"/>
          <w:szCs w:val="48"/>
          <w:lang w:eastAsia="fr-FR"/>
        </w:rPr>
        <w:t>BLOOD</w:t>
      </w:r>
    </w:p>
    <w:p w14:paraId="6FAF488D" w14:textId="182C6F77" w:rsidR="000D02E7" w:rsidRDefault="000D02E7" w:rsidP="000D02E7">
      <w:pPr>
        <w:pStyle w:val="Default"/>
        <w:rPr>
          <w:b/>
          <w:bCs/>
          <w:color w:val="auto"/>
        </w:rPr>
      </w:pPr>
      <w:r w:rsidRPr="00E404D4">
        <w:rPr>
          <w:b/>
          <w:bCs/>
          <w:color w:val="auto"/>
        </w:rPr>
        <w:t xml:space="preserve">Evaluation des pratiques professionnelles et </w:t>
      </w:r>
      <w:r>
        <w:rPr>
          <w:b/>
          <w:bCs/>
          <w:color w:val="auto"/>
        </w:rPr>
        <w:t>impact</w:t>
      </w:r>
      <w:r w:rsidRPr="00CF7357">
        <w:rPr>
          <w:b/>
          <w:bCs/>
          <w:color w:val="auto"/>
        </w:rPr>
        <w:t xml:space="preserve"> médico-économique</w:t>
      </w:r>
      <w:r>
        <w:rPr>
          <w:b/>
          <w:bCs/>
          <w:color w:val="auto"/>
        </w:rPr>
        <w:t xml:space="preserve"> de la prise en charge transfusionnelle d’une anémie ou d’une hémorragie grave</w:t>
      </w:r>
      <w:r w:rsidR="001C412D">
        <w:rPr>
          <w:b/>
          <w:bCs/>
          <w:color w:val="auto"/>
        </w:rPr>
        <w:t xml:space="preserve"> aux urgences</w:t>
      </w:r>
      <w:r>
        <w:rPr>
          <w:b/>
          <w:bCs/>
          <w:color w:val="auto"/>
        </w:rPr>
        <w:t xml:space="preserve"> </w:t>
      </w:r>
    </w:p>
    <w:p w14:paraId="0DD4C4E3" w14:textId="3691E6EC" w:rsidR="000D02E7" w:rsidRDefault="000D02E7" w:rsidP="000D02E7">
      <w:pPr>
        <w:pStyle w:val="Default"/>
        <w:rPr>
          <w:b/>
          <w:bCs/>
          <w:color w:val="auto"/>
        </w:rPr>
      </w:pPr>
    </w:p>
    <w:p w14:paraId="0F4BAAC6" w14:textId="2A9016CC" w:rsidR="008577BB" w:rsidRDefault="000D02E7" w:rsidP="00FC4CB7">
      <w:pPr>
        <w:pStyle w:val="Titre2"/>
      </w:pPr>
      <w:r>
        <w:t>résumé du projet</w:t>
      </w:r>
    </w:p>
    <w:p w14:paraId="19EAD6A3" w14:textId="3EB149CD" w:rsidR="000D02E7" w:rsidRPr="00087BC4" w:rsidRDefault="000D02E7" w:rsidP="009F4DF8">
      <w:r w:rsidRPr="00087BC4">
        <w:t xml:space="preserve">L’activité transfusionnelle est un enjeu de santé publique majeur en raison de la pénurie de globules rouges en France, de son coût économique, du temps et des moyens consacrés dans les services hospitaliers à sa réalisation, et du rapport bénéfice risque de cet acte (accidents rares, mais mortels). Les concentrés de globules rouges (CGR) sont les produits sanguins labiles les plus souvent prescrits et administrés en Services d’Urgences (SU), la plupart du temps </w:t>
      </w:r>
      <w:r>
        <w:t xml:space="preserve">en contexte </w:t>
      </w:r>
      <w:proofErr w:type="spellStart"/>
      <w:r>
        <w:t>normovolémique</w:t>
      </w:r>
      <w:proofErr w:type="spellEnd"/>
      <w:r>
        <w:t>, et en l’absence</w:t>
      </w:r>
      <w:r w:rsidRPr="00087BC4">
        <w:t xml:space="preserve"> d’urgence vitale (anémies carentielles, </w:t>
      </w:r>
      <w:proofErr w:type="spellStart"/>
      <w:r w:rsidRPr="00087BC4">
        <w:t>etc</w:t>
      </w:r>
      <w:proofErr w:type="spellEnd"/>
      <w:r w:rsidRPr="00087BC4">
        <w:t xml:space="preserve"> …). Plusieurs études nationales et internationales ont montré l’intérêt d’une transfusion restrictive (par opposition au concept de transfusion libérale). Des recommandations en soins critiques confirment cette stratégie. Des recommandations HAS guident aussi les pratiques depuis 2014 </w:t>
      </w:r>
      <w:r w:rsidR="009F4DF8">
        <w:t>mais l</w:t>
      </w:r>
      <w:r w:rsidRPr="00087BC4">
        <w:t xml:space="preserve">es indications de ces transfusions </w:t>
      </w:r>
      <w:r w:rsidR="009F4DF8">
        <w:t xml:space="preserve">spécifiquement </w:t>
      </w:r>
      <w:r w:rsidRPr="00087BC4">
        <w:t xml:space="preserve">en médecine d’Urgence </w:t>
      </w:r>
      <w:r w:rsidR="009F4DF8">
        <w:t xml:space="preserve">restent imprécises. </w:t>
      </w:r>
      <w:r w:rsidR="009F4DF8" w:rsidRPr="00087BC4">
        <w:t>Aucune étude multicentrique française aux urgences n’a évalué la pertinence des transfusions de CGR encore moins son efficience (impact organisationnel</w:t>
      </w:r>
      <w:r w:rsidR="009F4DF8">
        <w:t xml:space="preserve"> et</w:t>
      </w:r>
      <w:r w:rsidR="009F4DF8" w:rsidRPr="00087BC4">
        <w:t xml:space="preserve"> conséquences médico-économiques). Pourtant l’administration de CGR </w:t>
      </w:r>
      <w:proofErr w:type="gramStart"/>
      <w:r w:rsidR="009F4DF8" w:rsidRPr="00087BC4">
        <w:t>est</w:t>
      </w:r>
      <w:proofErr w:type="gramEnd"/>
      <w:r w:rsidR="009F4DF8" w:rsidRPr="00087BC4">
        <w:t xml:space="preserve"> un modèle de situation à fortes contraintes organisationnelles (, etc…) : indications ciblées en fonction de la balance bénéfice-risque, produits onéreux, circuit du médicament complexe, temps infirmier dédié, etc… </w:t>
      </w:r>
      <w:r w:rsidR="009F4DF8">
        <w:t xml:space="preserve">Certains services d‘urgences </w:t>
      </w:r>
      <w:r w:rsidRPr="00087BC4">
        <w:t>suggèrent d’en différer une partie dans les services d’aval</w:t>
      </w:r>
      <w:r>
        <w:t xml:space="preserve"> en suivant un logigramme</w:t>
      </w:r>
      <w:r w:rsidRPr="00087BC4">
        <w:t xml:space="preserve">. </w:t>
      </w:r>
      <w:r w:rsidR="009F4DF8">
        <w:t xml:space="preserve">Un état des lieux des anémies transfusées en multicentrique dans les SU </w:t>
      </w:r>
      <w:r w:rsidR="009F4DF8" w:rsidRPr="00087BC4">
        <w:t>français</w:t>
      </w:r>
      <w:r w:rsidR="009F4DF8">
        <w:t xml:space="preserve"> est nécessaire, de même que l’évaluation de son coût médico-économique.</w:t>
      </w:r>
    </w:p>
    <w:p w14:paraId="12E9D7E0" w14:textId="5A3FA982" w:rsidR="00457CFE" w:rsidRDefault="000D02E7" w:rsidP="009F4DF8">
      <w:r w:rsidRPr="00087BC4">
        <w:t xml:space="preserve">Nous proposons une étude nationale d’évaluation des pratiques transfusionnelles dans les SU, d’une durée d’une semaine (les actes transfusionnels n’étant pas forcément quotidiens dans de nombreux SU) pour </w:t>
      </w:r>
      <w:r w:rsidR="009F4DF8">
        <w:t>répondre à</w:t>
      </w:r>
      <w:r w:rsidR="00457CFE">
        <w:t xml:space="preserve"> cette problématique.</w:t>
      </w:r>
    </w:p>
    <w:p w14:paraId="6A13DF48" w14:textId="0C5CBC2F" w:rsidR="000D02E7" w:rsidRPr="00087BC4" w:rsidRDefault="00457CFE" w:rsidP="002818BD">
      <w:r>
        <w:t>Les objectifs poursuivis sont :</w:t>
      </w:r>
      <w:r w:rsidR="00AB23C8">
        <w:t xml:space="preserve"> 1) décrire</w:t>
      </w:r>
      <w:r w:rsidR="009F4DF8">
        <w:t xml:space="preserve"> </w:t>
      </w:r>
      <w:r w:rsidR="00AB23C8">
        <w:t>l</w:t>
      </w:r>
      <w:r w:rsidR="009F4DF8">
        <w:t xml:space="preserve">es </w:t>
      </w:r>
      <w:r w:rsidR="009F4DF8" w:rsidRPr="00087BC4">
        <w:t xml:space="preserve">anémies </w:t>
      </w:r>
      <w:r w:rsidR="009F4DF8">
        <w:t xml:space="preserve">aigues et chroniques </w:t>
      </w:r>
      <w:r w:rsidR="009F4DF8" w:rsidRPr="00087BC4">
        <w:t xml:space="preserve">transfusées </w:t>
      </w:r>
      <w:r w:rsidR="009F4DF8">
        <w:t xml:space="preserve">ou non par CGR </w:t>
      </w:r>
      <w:r w:rsidR="009F4DF8" w:rsidRPr="00087BC4">
        <w:t>aux urgences</w:t>
      </w:r>
      <w:r w:rsidR="00AB23C8">
        <w:t> ; 2) décrire</w:t>
      </w:r>
      <w:r w:rsidR="000D02E7">
        <w:t xml:space="preserve"> </w:t>
      </w:r>
      <w:r w:rsidR="00AB23C8">
        <w:t>l</w:t>
      </w:r>
      <w:r w:rsidR="000D02E7">
        <w:t>es transfusions de CGR en urgence vitale immédiate ou sur hémorragie grave avec ou sans anémie</w:t>
      </w:r>
      <w:r>
        <w:t xml:space="preserve"> (</w:t>
      </w:r>
      <w:r w:rsidR="00362A5C">
        <w:t>é</w:t>
      </w:r>
      <w:r>
        <w:t>tapes pré-transfusionnel</w:t>
      </w:r>
      <w:r w:rsidR="00362A5C">
        <w:t>le</w:t>
      </w:r>
      <w:r>
        <w:t xml:space="preserve">s, motifs de la décision, </w:t>
      </w:r>
      <w:r w:rsidR="00362A5C">
        <w:t>v</w:t>
      </w:r>
      <w:r w:rsidR="000D02E7" w:rsidRPr="00087BC4">
        <w:t>olume de CGR utilisé</w:t>
      </w:r>
      <w:r>
        <w:t xml:space="preserve">, type, durée, etc…) </w:t>
      </w:r>
      <w:r w:rsidR="00F75464">
        <w:t>3) décrire les stratégies alternatives et leurs motivations, le cas échéant</w:t>
      </w:r>
      <w:r>
        <w:t>.</w:t>
      </w:r>
      <w:r w:rsidR="00F75464">
        <w:t xml:space="preserve"> 4</w:t>
      </w:r>
      <w:r w:rsidR="00856834">
        <w:t xml:space="preserve">) </w:t>
      </w:r>
      <w:r w:rsidR="000D02E7">
        <w:t>Evalu</w:t>
      </w:r>
      <w:r w:rsidR="00856834">
        <w:t>er</w:t>
      </w:r>
      <w:r w:rsidR="000D02E7">
        <w:t xml:space="preserve"> la sécurité transfusionnelle aux urgences</w:t>
      </w:r>
      <w:r w:rsidR="00856834">
        <w:t>, et décrire les</w:t>
      </w:r>
      <w:r w:rsidR="000D02E7">
        <w:t xml:space="preserve"> dysfonctionnements organisationnels pendant le processus de transfusion </w:t>
      </w:r>
      <w:r w:rsidR="00856834">
        <w:t>(</w:t>
      </w:r>
      <w:r w:rsidR="002818BD">
        <w:t xml:space="preserve">signalés ou non). 5) </w:t>
      </w:r>
      <w:r w:rsidR="000D02E7" w:rsidRPr="00087BC4">
        <w:t>Evalu</w:t>
      </w:r>
      <w:r w:rsidR="002818BD">
        <w:t>er</w:t>
      </w:r>
      <w:r w:rsidR="000D02E7" w:rsidRPr="00087BC4">
        <w:t xml:space="preserve"> </w:t>
      </w:r>
      <w:r w:rsidR="002818BD">
        <w:t>le</w:t>
      </w:r>
      <w:r w:rsidR="000D02E7" w:rsidRPr="00087BC4">
        <w:t xml:space="preserve"> coût </w:t>
      </w:r>
      <w:r w:rsidR="000D02E7">
        <w:t xml:space="preserve">réel </w:t>
      </w:r>
      <w:r w:rsidR="000D02E7" w:rsidRPr="00087BC4">
        <w:t>des transfusions</w:t>
      </w:r>
      <w:r w:rsidR="000D02E7">
        <w:t xml:space="preserve"> aux urgences</w:t>
      </w:r>
      <w:r w:rsidR="00582312">
        <w:t xml:space="preserve"> 6) Evaluer l’é</w:t>
      </w:r>
      <w:r w:rsidR="000D02E7">
        <w:t xml:space="preserve">ligibilité </w:t>
      </w:r>
      <w:r w:rsidR="000D02E7" w:rsidRPr="00087BC4">
        <w:t>des transfusions de CGR en urgence relative</w:t>
      </w:r>
      <w:r w:rsidR="000D02E7">
        <w:t xml:space="preserve"> à une pratique différée.</w:t>
      </w:r>
    </w:p>
    <w:p w14:paraId="1769CB43" w14:textId="77777777" w:rsidR="000D02E7" w:rsidRDefault="000D02E7" w:rsidP="009F4DF8">
      <w:r w:rsidRPr="00087BC4">
        <w:t xml:space="preserve">Les résultats de cette étude permettront </w:t>
      </w:r>
    </w:p>
    <w:p w14:paraId="7304D2CE" w14:textId="78FA3C36" w:rsidR="00005C33" w:rsidRDefault="000D02E7" w:rsidP="009F4DF8">
      <w:r>
        <w:t xml:space="preserve">- </w:t>
      </w:r>
      <w:r w:rsidR="000100AA">
        <w:t>D’</w:t>
      </w:r>
      <w:r w:rsidR="009C4558">
        <w:t>é</w:t>
      </w:r>
      <w:r w:rsidR="000100AA">
        <w:t xml:space="preserve">valuer </w:t>
      </w:r>
      <w:r w:rsidR="009C4558">
        <w:t>l’adhésion des urgentistes aux</w:t>
      </w:r>
      <w:r w:rsidR="00593E2A" w:rsidRPr="00087BC4">
        <w:t xml:space="preserve"> recommandations HAS </w:t>
      </w:r>
      <w:proofErr w:type="gramStart"/>
      <w:r w:rsidR="00593E2A" w:rsidRPr="00087BC4">
        <w:t xml:space="preserve">2014 </w:t>
      </w:r>
      <w:r w:rsidR="00941843">
        <w:t>,</w:t>
      </w:r>
      <w:proofErr w:type="gramEnd"/>
      <w:r w:rsidR="000100AA">
        <w:t xml:space="preserve"> en discutant les raisons des écarts de </w:t>
      </w:r>
      <w:r w:rsidR="009C4558">
        <w:t>pratiques</w:t>
      </w:r>
      <w:r w:rsidR="00941843">
        <w:t xml:space="preserve"> et la pertinence de nouveaux critères (seuils uniques, etc…)</w:t>
      </w:r>
      <w:r w:rsidR="00D03041">
        <w:t>.</w:t>
      </w:r>
    </w:p>
    <w:p w14:paraId="50A797B7" w14:textId="09896646" w:rsidR="000D02E7" w:rsidRDefault="00005C33" w:rsidP="009F4DF8">
      <w:r>
        <w:lastRenderedPageBreak/>
        <w:t xml:space="preserve">- </w:t>
      </w:r>
      <w:r w:rsidR="000D02E7">
        <w:t>D’estimer le surcoût médico-économique d’une transfusion réalisée par défaut aux urgences, de le comparer au coût des traitements alternatifs éligibles le cas échéant, ou des stratégies de transfusion dans d’autres sites hospitaliers.</w:t>
      </w:r>
    </w:p>
    <w:p w14:paraId="093850D4" w14:textId="50C0F056" w:rsidR="000434E0" w:rsidRDefault="00426CD8" w:rsidP="009F4DF8">
      <w:r>
        <w:t xml:space="preserve">- </w:t>
      </w:r>
      <w:r w:rsidR="000D02E7">
        <w:t xml:space="preserve">De </w:t>
      </w:r>
      <w:r w:rsidR="000D02E7" w:rsidRPr="00087BC4">
        <w:t>proposer une activité transfusionnelle ciblée, adaptée aux problématiques des SU eux-mêmes, en particulier en cas d’anémie chronique</w:t>
      </w:r>
      <w:r w:rsidR="000D02E7">
        <w:t xml:space="preserve"> bien tolérée</w:t>
      </w:r>
      <w:r w:rsidR="000D02E7" w:rsidRPr="00087BC4">
        <w:t xml:space="preserve">. De même </w:t>
      </w:r>
      <w:r w:rsidR="00383FE1">
        <w:t>cette étude permettra</w:t>
      </w:r>
      <w:r w:rsidR="000D02E7" w:rsidRPr="00087BC4">
        <w:t xml:space="preserve"> de préciser les </w:t>
      </w:r>
      <w:r w:rsidR="000D02E7">
        <w:t xml:space="preserve">situations non urgentes </w:t>
      </w:r>
      <w:r w:rsidR="00582312">
        <w:t>d’</w:t>
      </w:r>
      <w:r w:rsidR="00582312" w:rsidRPr="00087BC4">
        <w:t>explorations</w:t>
      </w:r>
      <w:r w:rsidR="000D02E7" w:rsidRPr="00087BC4">
        <w:t xml:space="preserve"> complémentaires étiologiques, en amont de cette activité de transfusion</w:t>
      </w:r>
    </w:p>
    <w:p w14:paraId="731A6B54" w14:textId="568FAF71" w:rsidR="000434E0" w:rsidRPr="00E404D4" w:rsidRDefault="000434E0" w:rsidP="000434E0">
      <w:pPr>
        <w:pStyle w:val="Titre2"/>
      </w:pPr>
      <w:r w:rsidRPr="00E404D4">
        <w:t>Population Etudiée </w:t>
      </w:r>
    </w:p>
    <w:p w14:paraId="579459D8" w14:textId="77777777" w:rsidR="000434E0" w:rsidRDefault="000434E0" w:rsidP="000434E0">
      <w:pPr>
        <w:pStyle w:val="Titre3"/>
      </w:pPr>
      <w:r>
        <w:t>C</w:t>
      </w:r>
      <w:r w:rsidRPr="00E404D4">
        <w:t xml:space="preserve">ritères d’inclusion : </w:t>
      </w:r>
    </w:p>
    <w:p w14:paraId="6A7B72BE" w14:textId="28B13501" w:rsidR="00362A5C" w:rsidRPr="00D3476E" w:rsidRDefault="00362A5C" w:rsidP="00D3476E">
      <w:pPr>
        <w:pStyle w:val="Paragraphedeliste"/>
        <w:spacing w:after="0" w:line="240" w:lineRule="auto"/>
        <w:jc w:val="both"/>
        <w:rPr>
          <w:rFonts w:cs="Arial"/>
        </w:rPr>
      </w:pPr>
      <w:r w:rsidRPr="00362A5C">
        <w:rPr>
          <w:rFonts w:cs="Arial"/>
        </w:rPr>
        <w:t xml:space="preserve">Tous les patients </w:t>
      </w:r>
      <w:r>
        <w:rPr>
          <w:rFonts w:cs="Arial"/>
        </w:rPr>
        <w:t>≥</w:t>
      </w:r>
      <w:r w:rsidRPr="00362A5C">
        <w:rPr>
          <w:rFonts w:cs="Arial"/>
        </w:rPr>
        <w:t xml:space="preserve"> 18 </w:t>
      </w:r>
      <w:r>
        <w:rPr>
          <w:rFonts w:cs="Arial"/>
        </w:rPr>
        <w:t>ans</w:t>
      </w:r>
      <w:r w:rsidRPr="00362A5C">
        <w:rPr>
          <w:rFonts w:cs="Arial"/>
        </w:rPr>
        <w:t xml:space="preserve">, avec une </w:t>
      </w:r>
      <w:r w:rsidR="00D3476E">
        <w:rPr>
          <w:rFonts w:cs="Arial"/>
        </w:rPr>
        <w:t xml:space="preserve">hémoglobinémie telle que </w:t>
      </w:r>
      <w:proofErr w:type="spellStart"/>
      <w:r w:rsidR="00D3476E">
        <w:rPr>
          <w:rFonts w:cs="Arial"/>
        </w:rPr>
        <w:t>H</w:t>
      </w:r>
      <w:r w:rsidRPr="00362A5C">
        <w:rPr>
          <w:rFonts w:cs="Arial"/>
        </w:rPr>
        <w:t>b</w:t>
      </w:r>
      <w:proofErr w:type="spellEnd"/>
      <w:r w:rsidRPr="00362A5C">
        <w:rPr>
          <w:rFonts w:cs="Arial"/>
        </w:rPr>
        <w:t>&lt;10g/</w:t>
      </w:r>
      <w:proofErr w:type="spellStart"/>
      <w:r w:rsidRPr="00362A5C">
        <w:rPr>
          <w:rFonts w:cs="Arial"/>
        </w:rPr>
        <w:t>dL</w:t>
      </w:r>
      <w:proofErr w:type="spellEnd"/>
      <w:r w:rsidRPr="00362A5C">
        <w:rPr>
          <w:rFonts w:cs="Arial"/>
        </w:rPr>
        <w:t>, qu’ils soient transfusés ou non</w:t>
      </w:r>
      <w:r>
        <w:rPr>
          <w:rFonts w:cs="Arial"/>
        </w:rPr>
        <w:t> ;</w:t>
      </w:r>
    </w:p>
    <w:p w14:paraId="4C714A2C" w14:textId="67BC616D" w:rsidR="00362A5C" w:rsidRPr="00362A5C" w:rsidRDefault="00362A5C" w:rsidP="00D3476E">
      <w:pPr>
        <w:pStyle w:val="Paragraphedeliste"/>
        <w:numPr>
          <w:ilvl w:val="0"/>
          <w:numId w:val="5"/>
        </w:numPr>
        <w:spacing w:after="0" w:line="240" w:lineRule="auto"/>
        <w:jc w:val="both"/>
        <w:rPr>
          <w:rFonts w:cs="Arial"/>
        </w:rPr>
      </w:pPr>
      <w:r w:rsidRPr="00362A5C">
        <w:rPr>
          <w:rFonts w:cs="Arial"/>
        </w:rPr>
        <w:t xml:space="preserve">Tous les patients </w:t>
      </w:r>
      <w:r>
        <w:rPr>
          <w:rFonts w:cs="Arial"/>
          <w:sz w:val="22"/>
          <w:szCs w:val="22"/>
        </w:rPr>
        <w:t>≥</w:t>
      </w:r>
      <w:r w:rsidRPr="00362A5C">
        <w:rPr>
          <w:rFonts w:cs="Arial"/>
        </w:rPr>
        <w:t xml:space="preserve"> 18 ans transfusés </w:t>
      </w:r>
      <w:r>
        <w:rPr>
          <w:rFonts w:cs="Arial"/>
        </w:rPr>
        <w:t xml:space="preserve">en CGR </w:t>
      </w:r>
      <w:r w:rsidRPr="00362A5C">
        <w:rPr>
          <w:rFonts w:cs="Arial"/>
        </w:rPr>
        <w:t>aux urgences</w:t>
      </w:r>
      <w:r>
        <w:rPr>
          <w:rFonts w:cs="Arial"/>
        </w:rPr>
        <w:t xml:space="preserve"> ou en UHCD</w:t>
      </w:r>
      <w:r w:rsidR="00D3476E">
        <w:rPr>
          <w:rFonts w:cs="Arial"/>
        </w:rPr>
        <w:t>/ZHTCD</w:t>
      </w:r>
      <w:r>
        <w:rPr>
          <w:rFonts w:cs="Arial"/>
        </w:rPr>
        <w:t>,</w:t>
      </w:r>
      <w:r w:rsidRPr="00362A5C">
        <w:rPr>
          <w:rFonts w:cs="Arial"/>
        </w:rPr>
        <w:t xml:space="preserve"> quelle que soit leur </w:t>
      </w:r>
      <w:proofErr w:type="spellStart"/>
      <w:r w:rsidRPr="00362A5C">
        <w:rPr>
          <w:rFonts w:cs="Arial"/>
        </w:rPr>
        <w:t>Hb</w:t>
      </w:r>
      <w:proofErr w:type="spellEnd"/>
      <w:r w:rsidR="00D3476E">
        <w:rPr>
          <w:rFonts w:cs="Arial"/>
        </w:rPr>
        <w:t xml:space="preserve"> (en cas d’hémorragie majeure par exemple)</w:t>
      </w:r>
      <w:r w:rsidRPr="00362A5C">
        <w:rPr>
          <w:rFonts w:cs="Arial"/>
        </w:rPr>
        <w:t>.</w:t>
      </w:r>
    </w:p>
    <w:p w14:paraId="6E6D4E68" w14:textId="77777777" w:rsidR="00362A5C" w:rsidRPr="00362A5C" w:rsidRDefault="00362A5C" w:rsidP="00362A5C">
      <w:pPr>
        <w:spacing w:after="0" w:line="240" w:lineRule="auto"/>
        <w:jc w:val="both"/>
        <w:rPr>
          <w:rFonts w:cs="Arial"/>
        </w:rPr>
      </w:pPr>
    </w:p>
    <w:p w14:paraId="2300C500" w14:textId="53A63355" w:rsidR="000434E0" w:rsidRPr="00E404D4" w:rsidRDefault="000434E0" w:rsidP="00D3476E">
      <w:pPr>
        <w:rPr>
          <w:rFonts w:cs="Arial"/>
        </w:rPr>
      </w:pPr>
      <w:r w:rsidRPr="00E404D4">
        <w:t>Structures Concernées</w:t>
      </w:r>
      <w:r w:rsidR="00D3476E">
        <w:t> </w:t>
      </w:r>
      <w:r w:rsidR="00D3476E">
        <w:rPr>
          <w:rFonts w:cs="Arial"/>
        </w:rPr>
        <w:t>:</w:t>
      </w:r>
      <w:r w:rsidR="00291C78">
        <w:rPr>
          <w:rFonts w:cs="Arial"/>
        </w:rPr>
        <w:t xml:space="preserve"> Les </w:t>
      </w:r>
      <w:r>
        <w:rPr>
          <w:rFonts w:cs="Arial"/>
        </w:rPr>
        <w:t>Services d’urgences </w:t>
      </w:r>
      <w:r w:rsidR="00D3476E">
        <w:rPr>
          <w:rFonts w:cs="Arial"/>
        </w:rPr>
        <w:t>e</w:t>
      </w:r>
      <w:r w:rsidRPr="00E404D4">
        <w:rPr>
          <w:rFonts w:cs="Arial"/>
        </w:rPr>
        <w:t>n C</w:t>
      </w:r>
      <w:r>
        <w:rPr>
          <w:rFonts w:cs="Arial"/>
        </w:rPr>
        <w:t xml:space="preserve">entre </w:t>
      </w:r>
      <w:r w:rsidRPr="00E404D4">
        <w:rPr>
          <w:rFonts w:cs="Arial"/>
        </w:rPr>
        <w:t>H</w:t>
      </w:r>
      <w:r>
        <w:rPr>
          <w:rFonts w:cs="Arial"/>
        </w:rPr>
        <w:t xml:space="preserve">ospitalier </w:t>
      </w:r>
      <w:r w:rsidRPr="00E404D4">
        <w:rPr>
          <w:rFonts w:cs="Arial"/>
        </w:rPr>
        <w:t>U</w:t>
      </w:r>
      <w:r>
        <w:rPr>
          <w:rFonts w:cs="Arial"/>
        </w:rPr>
        <w:t>niversitaire</w:t>
      </w:r>
      <w:r w:rsidRPr="00E404D4">
        <w:rPr>
          <w:rFonts w:cs="Arial"/>
        </w:rPr>
        <w:t xml:space="preserve"> ou C</w:t>
      </w:r>
      <w:r>
        <w:rPr>
          <w:rFonts w:cs="Arial"/>
        </w:rPr>
        <w:t xml:space="preserve">entre </w:t>
      </w:r>
      <w:r w:rsidRPr="00E404D4">
        <w:rPr>
          <w:rFonts w:cs="Arial"/>
        </w:rPr>
        <w:t>H</w:t>
      </w:r>
      <w:r>
        <w:rPr>
          <w:rFonts w:cs="Arial"/>
        </w:rPr>
        <w:t xml:space="preserve">ospitalier </w:t>
      </w:r>
      <w:r w:rsidRPr="00E404D4">
        <w:rPr>
          <w:rFonts w:cs="Arial"/>
        </w:rPr>
        <w:t>G</w:t>
      </w:r>
      <w:r>
        <w:rPr>
          <w:rFonts w:cs="Arial"/>
        </w:rPr>
        <w:t xml:space="preserve">énéral public ou sous contrat </w:t>
      </w:r>
      <w:r w:rsidRPr="00E404D4">
        <w:rPr>
          <w:rFonts w:cs="Arial"/>
        </w:rPr>
        <w:t xml:space="preserve"> </w:t>
      </w:r>
    </w:p>
    <w:p w14:paraId="41EF2AC4" w14:textId="77777777" w:rsidR="00AD1434" w:rsidRPr="000434E0" w:rsidRDefault="00AD1434" w:rsidP="000434E0">
      <w:pPr>
        <w:spacing w:after="0" w:line="240" w:lineRule="auto"/>
        <w:jc w:val="both"/>
        <w:rPr>
          <w:rFonts w:cs="Arial"/>
        </w:rPr>
      </w:pPr>
    </w:p>
    <w:p w14:paraId="71057300" w14:textId="3B7BC94F" w:rsidR="00AD1434" w:rsidRPr="00151CD5" w:rsidRDefault="000434E0" w:rsidP="00151CD5">
      <w:pPr>
        <w:pStyle w:val="Titre2"/>
      </w:pPr>
      <w:r w:rsidRPr="00E404D4">
        <w:t>Déroulement de l’étude </w:t>
      </w:r>
    </w:p>
    <w:p w14:paraId="5171A8B5" w14:textId="30730823" w:rsidR="00C07E99" w:rsidRPr="008058E9" w:rsidRDefault="008058E9" w:rsidP="00AD1434">
      <w:pPr>
        <w:spacing w:after="0" w:line="360" w:lineRule="auto"/>
        <w:rPr>
          <w:rFonts w:cs="Arial"/>
          <w:bCs/>
          <w:u w:val="single"/>
        </w:rPr>
      </w:pPr>
      <w:r w:rsidRPr="008058E9">
        <w:rPr>
          <w:rFonts w:cs="Arial"/>
          <w:bCs/>
          <w:u w:val="single"/>
        </w:rPr>
        <w:t xml:space="preserve">Du </w:t>
      </w:r>
      <w:r w:rsidR="00B51444">
        <w:rPr>
          <w:rFonts w:cs="Arial"/>
          <w:bCs/>
          <w:u w:val="single"/>
        </w:rPr>
        <w:t xml:space="preserve">lundi </w:t>
      </w:r>
      <w:r w:rsidRPr="008058E9">
        <w:rPr>
          <w:rFonts w:cs="Arial"/>
          <w:bCs/>
          <w:u w:val="single"/>
        </w:rPr>
        <w:t xml:space="preserve">7 </w:t>
      </w:r>
      <w:r w:rsidR="00362A5C">
        <w:rPr>
          <w:rFonts w:cs="Arial"/>
          <w:bCs/>
          <w:u w:val="single"/>
        </w:rPr>
        <w:t xml:space="preserve">(8h) </w:t>
      </w:r>
      <w:r w:rsidRPr="008058E9">
        <w:rPr>
          <w:rFonts w:cs="Arial"/>
          <w:bCs/>
          <w:u w:val="single"/>
        </w:rPr>
        <w:t xml:space="preserve">au </w:t>
      </w:r>
      <w:r w:rsidR="00B51444">
        <w:rPr>
          <w:rFonts w:cs="Arial"/>
          <w:bCs/>
          <w:u w:val="single"/>
        </w:rPr>
        <w:t xml:space="preserve">dimanche </w:t>
      </w:r>
      <w:r w:rsidRPr="008058E9">
        <w:rPr>
          <w:rFonts w:cs="Arial"/>
          <w:bCs/>
          <w:u w:val="single"/>
        </w:rPr>
        <w:t xml:space="preserve">13 mars </w:t>
      </w:r>
      <w:r w:rsidR="00362A5C">
        <w:rPr>
          <w:rFonts w:cs="Arial"/>
          <w:bCs/>
          <w:u w:val="single"/>
        </w:rPr>
        <w:t xml:space="preserve">(minuit) </w:t>
      </w:r>
      <w:r w:rsidRPr="008058E9">
        <w:rPr>
          <w:rFonts w:cs="Arial"/>
          <w:bCs/>
          <w:u w:val="single"/>
        </w:rPr>
        <w:t>2022</w:t>
      </w:r>
      <w:r w:rsidR="000434E0" w:rsidRPr="008058E9">
        <w:rPr>
          <w:rFonts w:cs="Arial"/>
          <w:bCs/>
          <w:u w:val="single"/>
        </w:rPr>
        <w:t xml:space="preserve">, </w:t>
      </w:r>
    </w:p>
    <w:p w14:paraId="2F0C0D9B" w14:textId="77777777" w:rsidR="00D3476E" w:rsidRDefault="00D3476E" w:rsidP="00DD5FD4">
      <w:pPr>
        <w:spacing w:after="0" w:line="360" w:lineRule="auto"/>
        <w:rPr>
          <w:rFonts w:cs="Arial"/>
          <w:bCs/>
          <w:u w:val="single"/>
        </w:rPr>
      </w:pPr>
    </w:p>
    <w:p w14:paraId="2EC31F62" w14:textId="61FC81CA" w:rsidR="00DD5FD4" w:rsidRDefault="00DD5FD4" w:rsidP="00DD5FD4">
      <w:pPr>
        <w:spacing w:after="0" w:line="360" w:lineRule="auto"/>
        <w:rPr>
          <w:rFonts w:cs="Arial"/>
          <w:bCs/>
          <w:u w:val="single"/>
        </w:rPr>
      </w:pPr>
      <w:r>
        <w:rPr>
          <w:rFonts w:cs="Arial"/>
          <w:bCs/>
          <w:u w:val="single"/>
        </w:rPr>
        <w:t xml:space="preserve">Pendant la période d’inclusion, un questionnaire papier (2 pages) sera à remplir en temps </w:t>
      </w:r>
      <w:r w:rsidR="00D3476E">
        <w:rPr>
          <w:rFonts w:cs="Arial"/>
          <w:bCs/>
          <w:u w:val="single"/>
        </w:rPr>
        <w:t>réel</w:t>
      </w:r>
      <w:r>
        <w:rPr>
          <w:rFonts w:cs="Arial"/>
          <w:bCs/>
          <w:u w:val="single"/>
        </w:rPr>
        <w:t xml:space="preserve"> pour chaque patient inclus par le médecin urgentiste en charge du patient. Une partie spécifique « transfusion » au sein de ce questionnaire sera à remplir uniquement pour les patients transfusés.</w:t>
      </w:r>
    </w:p>
    <w:p w14:paraId="5127281E" w14:textId="0CDA34C7" w:rsidR="00DD5FD4" w:rsidRDefault="00DD5FD4" w:rsidP="00D3476E">
      <w:pPr>
        <w:spacing w:line="360" w:lineRule="auto"/>
        <w:rPr>
          <w:rFonts w:cs="Arial"/>
          <w:bCs/>
          <w:u w:val="single"/>
        </w:rPr>
      </w:pPr>
      <w:r>
        <w:rPr>
          <w:rFonts w:cs="Arial"/>
          <w:bCs/>
        </w:rPr>
        <w:t>Certaines données relatives à l’orientation du patient et le devenir du patient lors de l’hospitalisation, pourront être récupérées</w:t>
      </w:r>
      <w:r w:rsidRPr="00E404D4">
        <w:rPr>
          <w:rFonts w:cs="Arial"/>
          <w:bCs/>
        </w:rPr>
        <w:t xml:space="preserve"> rétrospectivement dans les jours suivant</w:t>
      </w:r>
      <w:r>
        <w:rPr>
          <w:rFonts w:cs="Arial"/>
          <w:bCs/>
        </w:rPr>
        <w:t xml:space="preserve">s. Aucun rappel du patient n’est nécessaire. Des </w:t>
      </w:r>
      <w:r w:rsidRPr="00E404D4">
        <w:rPr>
          <w:rFonts w:cs="Arial"/>
          <w:bCs/>
        </w:rPr>
        <w:t xml:space="preserve">données </w:t>
      </w:r>
      <w:r>
        <w:rPr>
          <w:rFonts w:cs="Arial"/>
          <w:bCs/>
        </w:rPr>
        <w:t xml:space="preserve">complémentaires de traçabilité transfusionnelles, et </w:t>
      </w:r>
      <w:r w:rsidRPr="00E404D4">
        <w:rPr>
          <w:rFonts w:cs="Arial"/>
          <w:bCs/>
        </w:rPr>
        <w:t>de suivi (accidents transfusionnels différés</w:t>
      </w:r>
      <w:r>
        <w:rPr>
          <w:rFonts w:cs="Arial"/>
          <w:bCs/>
        </w:rPr>
        <w:t xml:space="preserve"> par exemple</w:t>
      </w:r>
      <w:r w:rsidRPr="00E404D4">
        <w:rPr>
          <w:rFonts w:cs="Arial"/>
          <w:bCs/>
        </w:rPr>
        <w:t>)</w:t>
      </w:r>
      <w:r>
        <w:rPr>
          <w:rFonts w:cs="Arial"/>
          <w:bCs/>
        </w:rPr>
        <w:t xml:space="preserve"> seront fournies par l’EFS</w:t>
      </w:r>
      <w:r w:rsidRPr="00E404D4">
        <w:rPr>
          <w:rFonts w:cs="Arial"/>
          <w:bCs/>
        </w:rPr>
        <w:t>.</w:t>
      </w:r>
    </w:p>
    <w:p w14:paraId="1F2337AD" w14:textId="5429CAF0" w:rsidR="00DD5FD4" w:rsidRDefault="00DD5FD4" w:rsidP="00DD5FD4">
      <w:pPr>
        <w:spacing w:after="0" w:line="360" w:lineRule="auto"/>
        <w:rPr>
          <w:rFonts w:cs="Arial"/>
          <w:bCs/>
          <w:u w:val="single"/>
        </w:rPr>
      </w:pPr>
      <w:r>
        <w:rPr>
          <w:rFonts w:cs="Arial"/>
          <w:bCs/>
          <w:u w:val="single"/>
        </w:rPr>
        <w:t xml:space="preserve">Après la période d’inclusion, l’investigateur local devra reporter les CRF papier sur un </w:t>
      </w:r>
      <w:proofErr w:type="spellStart"/>
      <w:r>
        <w:rPr>
          <w:rFonts w:cs="Arial"/>
          <w:bCs/>
          <w:u w:val="single"/>
        </w:rPr>
        <w:t>eCRF</w:t>
      </w:r>
      <w:proofErr w:type="spellEnd"/>
      <w:r>
        <w:rPr>
          <w:rFonts w:cs="Arial"/>
          <w:bCs/>
          <w:u w:val="single"/>
        </w:rPr>
        <w:t xml:space="preserve"> anonymisé en complétant les données manquantes grâce au dossier médical. Il conservera sur place un tableau de correspondance afin de pouvoir récupérer des informations manquantes ou répondre aux questions de l’investigateur principal en cas de données aberrante.</w:t>
      </w:r>
    </w:p>
    <w:p w14:paraId="62BC9B88" w14:textId="77777777" w:rsidR="00D3476E" w:rsidRDefault="00D3476E" w:rsidP="00AD1434">
      <w:pPr>
        <w:spacing w:after="0" w:line="360" w:lineRule="auto"/>
        <w:rPr>
          <w:rFonts w:cs="Arial"/>
          <w:bCs/>
        </w:rPr>
      </w:pPr>
    </w:p>
    <w:p w14:paraId="63641684" w14:textId="77777777" w:rsidR="002027EF" w:rsidRDefault="002027EF" w:rsidP="00AD1434">
      <w:pPr>
        <w:spacing w:after="0" w:line="360" w:lineRule="auto"/>
        <w:rPr>
          <w:rFonts w:cs="Arial"/>
          <w:bCs/>
        </w:rPr>
      </w:pPr>
    </w:p>
    <w:p w14:paraId="2AB86721" w14:textId="77777777" w:rsidR="002027EF" w:rsidRDefault="002027EF" w:rsidP="00AD1434">
      <w:pPr>
        <w:spacing w:after="0" w:line="360" w:lineRule="auto"/>
        <w:rPr>
          <w:rFonts w:cs="Arial"/>
          <w:bCs/>
        </w:rPr>
      </w:pPr>
    </w:p>
    <w:p w14:paraId="1926BC65" w14:textId="77777777" w:rsidR="002027EF" w:rsidRDefault="002027EF" w:rsidP="00AD1434">
      <w:pPr>
        <w:spacing w:after="0" w:line="360" w:lineRule="auto"/>
        <w:rPr>
          <w:rFonts w:cs="Arial"/>
          <w:bCs/>
        </w:rPr>
      </w:pPr>
    </w:p>
    <w:p w14:paraId="31FB9F5D" w14:textId="77777777" w:rsidR="002027EF" w:rsidRDefault="002027EF" w:rsidP="00AD1434">
      <w:pPr>
        <w:spacing w:after="0" w:line="360" w:lineRule="auto"/>
        <w:rPr>
          <w:rFonts w:cs="Arial"/>
          <w:bCs/>
        </w:rPr>
      </w:pPr>
    </w:p>
    <w:p w14:paraId="5425149F" w14:textId="5D334744" w:rsidR="00BB5DB9" w:rsidRDefault="00BB5DB9" w:rsidP="00BB5DB9">
      <w:pPr>
        <w:pStyle w:val="Titre3"/>
      </w:pPr>
      <w:r w:rsidRPr="00E404D4">
        <w:lastRenderedPageBreak/>
        <w:t>Données Recueillies </w:t>
      </w:r>
    </w:p>
    <w:p w14:paraId="24975B07" w14:textId="77777777" w:rsidR="000C6B49" w:rsidRPr="000C6B49" w:rsidRDefault="000C6B49" w:rsidP="000C6B49"/>
    <w:p w14:paraId="6C0C4AEC" w14:textId="6565FD0C" w:rsidR="00BB5DB9" w:rsidRPr="00E404D4" w:rsidRDefault="00BB5DB9" w:rsidP="00BB5DB9">
      <w:pPr>
        <w:numPr>
          <w:ilvl w:val="0"/>
          <w:numId w:val="3"/>
        </w:numPr>
        <w:pBdr>
          <w:top w:val="single" w:sz="4" w:space="1" w:color="auto"/>
          <w:left w:val="single" w:sz="4" w:space="4" w:color="auto"/>
          <w:bottom w:val="single" w:sz="4" w:space="1" w:color="auto"/>
          <w:right w:val="single" w:sz="4" w:space="4" w:color="auto"/>
        </w:pBdr>
        <w:spacing w:before="0" w:after="0" w:line="360" w:lineRule="auto"/>
        <w:jc w:val="both"/>
        <w:rPr>
          <w:rFonts w:cs="Arial"/>
          <w:bCs/>
        </w:rPr>
      </w:pPr>
      <w:r w:rsidRPr="00E404D4">
        <w:rPr>
          <w:rFonts w:cs="Arial"/>
          <w:bCs/>
        </w:rPr>
        <w:t xml:space="preserve">Le nombre de transfusions de CGR réalisées au SU (données EFS locales) selon les catégories d’urgence </w:t>
      </w:r>
    </w:p>
    <w:p w14:paraId="2EA342DC" w14:textId="77777777" w:rsidR="00BB5DB9" w:rsidRPr="00E404D4" w:rsidRDefault="00BB5DB9" w:rsidP="00BB5DB9">
      <w:pPr>
        <w:numPr>
          <w:ilvl w:val="0"/>
          <w:numId w:val="3"/>
        </w:numPr>
        <w:pBdr>
          <w:top w:val="single" w:sz="4" w:space="1" w:color="auto"/>
          <w:left w:val="single" w:sz="4" w:space="4" w:color="auto"/>
          <w:bottom w:val="single" w:sz="4" w:space="1" w:color="auto"/>
          <w:right w:val="single" w:sz="4" w:space="4" w:color="auto"/>
        </w:pBdr>
        <w:spacing w:before="0" w:after="0" w:line="360" w:lineRule="auto"/>
        <w:jc w:val="both"/>
        <w:rPr>
          <w:rFonts w:cs="Arial"/>
          <w:bCs/>
        </w:rPr>
      </w:pPr>
      <w:r w:rsidRPr="00E404D4">
        <w:rPr>
          <w:rFonts w:cs="Arial"/>
          <w:bCs/>
        </w:rPr>
        <w:t xml:space="preserve">Les caractéristiques épidémiologiques des populations transfusées (âge, sexe, </w:t>
      </w:r>
      <w:proofErr w:type="spellStart"/>
      <w:r w:rsidRPr="00E404D4">
        <w:rPr>
          <w:rFonts w:cs="Arial"/>
          <w:bCs/>
        </w:rPr>
        <w:t>co-morbidité</w:t>
      </w:r>
      <w:proofErr w:type="spellEnd"/>
      <w:r w:rsidRPr="00E404D4">
        <w:rPr>
          <w:rFonts w:cs="Arial"/>
          <w:bCs/>
        </w:rPr>
        <w:t>, prises en charge palliatives, traitements anticoagulants et antiagrégants)</w:t>
      </w:r>
    </w:p>
    <w:p w14:paraId="4848C6F7" w14:textId="77777777" w:rsidR="00BB5DB9" w:rsidRDefault="00BB5DB9" w:rsidP="00BB5DB9">
      <w:pPr>
        <w:numPr>
          <w:ilvl w:val="0"/>
          <w:numId w:val="3"/>
        </w:numPr>
        <w:pBdr>
          <w:top w:val="single" w:sz="4" w:space="1" w:color="auto"/>
          <w:left w:val="single" w:sz="4" w:space="4" w:color="auto"/>
          <w:bottom w:val="single" w:sz="4" w:space="1" w:color="auto"/>
          <w:right w:val="single" w:sz="4" w:space="4" w:color="auto"/>
        </w:pBdr>
        <w:spacing w:before="0" w:after="0" w:line="360" w:lineRule="auto"/>
        <w:jc w:val="both"/>
        <w:rPr>
          <w:rFonts w:cs="Arial"/>
          <w:bCs/>
        </w:rPr>
      </w:pPr>
      <w:r w:rsidRPr="00E404D4">
        <w:rPr>
          <w:rFonts w:cs="Arial"/>
          <w:bCs/>
        </w:rPr>
        <w:t>Le nombre de CGR administrés par transfusion</w:t>
      </w:r>
    </w:p>
    <w:p w14:paraId="2B05D1CA" w14:textId="77777777" w:rsidR="00BB5DB9" w:rsidRDefault="00BB5DB9" w:rsidP="00BB5DB9">
      <w:pPr>
        <w:numPr>
          <w:ilvl w:val="0"/>
          <w:numId w:val="3"/>
        </w:numPr>
        <w:pBdr>
          <w:top w:val="single" w:sz="4" w:space="1" w:color="auto"/>
          <w:left w:val="single" w:sz="4" w:space="4" w:color="auto"/>
          <w:bottom w:val="single" w:sz="4" w:space="1" w:color="auto"/>
          <w:right w:val="single" w:sz="4" w:space="4" w:color="auto"/>
        </w:pBdr>
        <w:spacing w:before="0" w:after="0" w:line="360" w:lineRule="auto"/>
        <w:jc w:val="both"/>
        <w:rPr>
          <w:rFonts w:cs="Arial"/>
          <w:bCs/>
        </w:rPr>
      </w:pPr>
      <w:r>
        <w:rPr>
          <w:rFonts w:cs="Arial"/>
          <w:bCs/>
        </w:rPr>
        <w:t>Le type de CGR prescrit (Phénotypé, etc…)</w:t>
      </w:r>
    </w:p>
    <w:p w14:paraId="194E06FB" w14:textId="77777777" w:rsidR="00BB5DB9" w:rsidRPr="00E404D4" w:rsidRDefault="00BB5DB9" w:rsidP="00BB5DB9">
      <w:pPr>
        <w:numPr>
          <w:ilvl w:val="0"/>
          <w:numId w:val="3"/>
        </w:numPr>
        <w:pBdr>
          <w:top w:val="single" w:sz="4" w:space="1" w:color="auto"/>
          <w:left w:val="single" w:sz="4" w:space="4" w:color="auto"/>
          <w:bottom w:val="single" w:sz="4" w:space="1" w:color="auto"/>
          <w:right w:val="single" w:sz="4" w:space="4" w:color="auto"/>
        </w:pBdr>
        <w:spacing w:before="0" w:after="0" w:line="360" w:lineRule="auto"/>
        <w:jc w:val="both"/>
        <w:rPr>
          <w:rFonts w:cs="Arial"/>
          <w:bCs/>
        </w:rPr>
      </w:pPr>
      <w:r>
        <w:rPr>
          <w:rFonts w:cs="Arial"/>
          <w:bCs/>
        </w:rPr>
        <w:t>Le nombre et le type d’autres produits sanguins labiles associés</w:t>
      </w:r>
    </w:p>
    <w:p w14:paraId="616E816E" w14:textId="77777777" w:rsidR="00BB5DB9" w:rsidRPr="00E404D4" w:rsidRDefault="00BB5DB9" w:rsidP="00BB5DB9">
      <w:pPr>
        <w:numPr>
          <w:ilvl w:val="0"/>
          <w:numId w:val="3"/>
        </w:numPr>
        <w:pBdr>
          <w:top w:val="single" w:sz="4" w:space="1" w:color="auto"/>
          <w:left w:val="single" w:sz="4" w:space="4" w:color="auto"/>
          <w:bottom w:val="single" w:sz="4" w:space="1" w:color="auto"/>
          <w:right w:val="single" w:sz="4" w:space="4" w:color="auto"/>
        </w:pBdr>
        <w:spacing w:before="0" w:after="0" w:line="360" w:lineRule="auto"/>
        <w:jc w:val="both"/>
        <w:rPr>
          <w:rFonts w:cs="Arial"/>
          <w:bCs/>
        </w:rPr>
      </w:pPr>
      <w:r w:rsidRPr="00E404D4">
        <w:rPr>
          <w:rFonts w:cs="Arial"/>
          <w:bCs/>
        </w:rPr>
        <w:t>Les niveaux d’hémoglobine pré et post transfusionnelles</w:t>
      </w:r>
    </w:p>
    <w:p w14:paraId="67684647" w14:textId="1938EC78" w:rsidR="00BB5DB9" w:rsidRDefault="00BB5DB9" w:rsidP="00BB5DB9">
      <w:pPr>
        <w:numPr>
          <w:ilvl w:val="0"/>
          <w:numId w:val="3"/>
        </w:numPr>
        <w:pBdr>
          <w:top w:val="single" w:sz="4" w:space="1" w:color="auto"/>
          <w:left w:val="single" w:sz="4" w:space="4" w:color="auto"/>
          <w:bottom w:val="single" w:sz="4" w:space="1" w:color="auto"/>
          <w:right w:val="single" w:sz="4" w:space="4" w:color="auto"/>
        </w:pBdr>
        <w:spacing w:before="0" w:after="0" w:line="360" w:lineRule="auto"/>
        <w:jc w:val="both"/>
        <w:rPr>
          <w:rFonts w:cs="Arial"/>
          <w:bCs/>
        </w:rPr>
      </w:pPr>
      <w:r>
        <w:rPr>
          <w:rFonts w:cs="Arial"/>
          <w:bCs/>
        </w:rPr>
        <w:t xml:space="preserve">Les critères cliniques de mauvaise tolérance </w:t>
      </w:r>
      <w:r w:rsidR="00DD5FD4">
        <w:rPr>
          <w:rFonts w:cs="Arial"/>
          <w:bCs/>
        </w:rPr>
        <w:t>de l’</w:t>
      </w:r>
      <w:r>
        <w:rPr>
          <w:rFonts w:cs="Arial"/>
          <w:bCs/>
        </w:rPr>
        <w:t>anémie</w:t>
      </w:r>
    </w:p>
    <w:p w14:paraId="265D1286" w14:textId="37D4836C" w:rsidR="00BB5DB9" w:rsidRPr="00E404D4" w:rsidRDefault="00BB5DB9" w:rsidP="00BB5DB9">
      <w:pPr>
        <w:numPr>
          <w:ilvl w:val="0"/>
          <w:numId w:val="3"/>
        </w:numPr>
        <w:pBdr>
          <w:top w:val="single" w:sz="4" w:space="1" w:color="auto"/>
          <w:left w:val="single" w:sz="4" w:space="4" w:color="auto"/>
          <w:bottom w:val="single" w:sz="4" w:space="1" w:color="auto"/>
          <w:right w:val="single" w:sz="4" w:space="4" w:color="auto"/>
        </w:pBdr>
        <w:spacing w:before="0" w:after="0" w:line="360" w:lineRule="auto"/>
        <w:jc w:val="both"/>
        <w:rPr>
          <w:rFonts w:cs="Arial"/>
          <w:bCs/>
        </w:rPr>
      </w:pPr>
      <w:r w:rsidRPr="00E404D4">
        <w:rPr>
          <w:rFonts w:cs="Arial"/>
          <w:bCs/>
        </w:rPr>
        <w:t>Les examens biologiques</w:t>
      </w:r>
      <w:r w:rsidR="00DD5FD4">
        <w:rPr>
          <w:rFonts w:cs="Arial"/>
          <w:bCs/>
        </w:rPr>
        <w:t xml:space="preserve"> </w:t>
      </w:r>
      <w:r w:rsidRPr="00E404D4">
        <w:rPr>
          <w:rFonts w:cs="Arial"/>
          <w:bCs/>
        </w:rPr>
        <w:t xml:space="preserve">à l’arrivée au SU, incluant les </w:t>
      </w:r>
      <w:r>
        <w:rPr>
          <w:rFonts w:cs="Arial"/>
          <w:bCs/>
        </w:rPr>
        <w:t xml:space="preserve">indices de gravité hémodynamique et de mauvaise tolérance de l’anémie (troponine, créatinine sérique, </w:t>
      </w:r>
      <w:proofErr w:type="spellStart"/>
      <w:r>
        <w:rPr>
          <w:rFonts w:cs="Arial"/>
          <w:bCs/>
        </w:rPr>
        <w:t>Ntprobnp</w:t>
      </w:r>
      <w:proofErr w:type="spellEnd"/>
      <w:r>
        <w:rPr>
          <w:rFonts w:cs="Arial"/>
          <w:bCs/>
        </w:rPr>
        <w:t>, lactates, etc…)</w:t>
      </w:r>
    </w:p>
    <w:p w14:paraId="175ED653" w14:textId="77777777" w:rsidR="00BB5DB9" w:rsidRPr="00E404D4" w:rsidRDefault="00BB5DB9" w:rsidP="00BB5DB9">
      <w:pPr>
        <w:numPr>
          <w:ilvl w:val="0"/>
          <w:numId w:val="3"/>
        </w:numPr>
        <w:pBdr>
          <w:top w:val="single" w:sz="4" w:space="1" w:color="auto"/>
          <w:left w:val="single" w:sz="4" w:space="4" w:color="auto"/>
          <w:bottom w:val="single" w:sz="4" w:space="1" w:color="auto"/>
          <w:right w:val="single" w:sz="4" w:space="4" w:color="auto"/>
        </w:pBdr>
        <w:spacing w:before="0" w:after="0" w:line="360" w:lineRule="auto"/>
        <w:jc w:val="both"/>
        <w:rPr>
          <w:rFonts w:cs="Arial"/>
          <w:bCs/>
        </w:rPr>
      </w:pPr>
      <w:r w:rsidRPr="00E404D4">
        <w:rPr>
          <w:rFonts w:cs="Arial"/>
          <w:bCs/>
        </w:rPr>
        <w:t>Le caractère collégial ou non de la décision de transfusion (recours à un avis de spécialité ou non, etc…)</w:t>
      </w:r>
    </w:p>
    <w:p w14:paraId="2C50FF00" w14:textId="1B9D30D6" w:rsidR="00BB5DB9" w:rsidRPr="00E404D4" w:rsidRDefault="00BB5DB9" w:rsidP="00BB5DB9">
      <w:pPr>
        <w:numPr>
          <w:ilvl w:val="0"/>
          <w:numId w:val="3"/>
        </w:numPr>
        <w:pBdr>
          <w:top w:val="single" w:sz="4" w:space="1" w:color="auto"/>
          <w:left w:val="single" w:sz="4" w:space="4" w:color="auto"/>
          <w:bottom w:val="single" w:sz="4" w:space="1" w:color="auto"/>
          <w:right w:val="single" w:sz="4" w:space="4" w:color="auto"/>
        </w:pBdr>
        <w:spacing w:before="0" w:after="0" w:line="360" w:lineRule="auto"/>
        <w:jc w:val="both"/>
        <w:rPr>
          <w:rFonts w:cs="Arial"/>
          <w:bCs/>
        </w:rPr>
      </w:pPr>
      <w:r w:rsidRPr="00E404D4">
        <w:rPr>
          <w:rFonts w:cs="Arial"/>
          <w:bCs/>
        </w:rPr>
        <w:t xml:space="preserve">Les </w:t>
      </w:r>
      <w:r w:rsidR="0000566D">
        <w:rPr>
          <w:rFonts w:cs="Arial"/>
          <w:bCs/>
        </w:rPr>
        <w:t>critères de décision déclarés ayant conduits ou non</w:t>
      </w:r>
      <w:r w:rsidRPr="00E404D4">
        <w:rPr>
          <w:rFonts w:cs="Arial"/>
          <w:bCs/>
        </w:rPr>
        <w:t xml:space="preserve"> à la transfusion de culots globulaires au SU</w:t>
      </w:r>
    </w:p>
    <w:p w14:paraId="74953B3A" w14:textId="77777777" w:rsidR="00BB5DB9" w:rsidRPr="00E404D4" w:rsidRDefault="00BB5DB9" w:rsidP="00BB5DB9">
      <w:pPr>
        <w:numPr>
          <w:ilvl w:val="0"/>
          <w:numId w:val="3"/>
        </w:numPr>
        <w:pBdr>
          <w:top w:val="single" w:sz="4" w:space="1" w:color="auto"/>
          <w:left w:val="single" w:sz="4" w:space="4" w:color="auto"/>
          <w:bottom w:val="single" w:sz="4" w:space="1" w:color="auto"/>
          <w:right w:val="single" w:sz="4" w:space="4" w:color="auto"/>
        </w:pBdr>
        <w:spacing w:before="0" w:after="0" w:line="360" w:lineRule="auto"/>
        <w:jc w:val="both"/>
        <w:rPr>
          <w:rFonts w:cs="Arial"/>
          <w:bCs/>
        </w:rPr>
      </w:pPr>
      <w:r w:rsidRPr="00E404D4">
        <w:rPr>
          <w:rFonts w:cs="Arial"/>
          <w:bCs/>
        </w:rPr>
        <w:t>Les horaires de transfusion de CGR</w:t>
      </w:r>
    </w:p>
    <w:p w14:paraId="1C0E12CA" w14:textId="77777777" w:rsidR="00BB5DB9" w:rsidRDefault="00BB5DB9" w:rsidP="00BB5DB9">
      <w:pPr>
        <w:numPr>
          <w:ilvl w:val="0"/>
          <w:numId w:val="3"/>
        </w:numPr>
        <w:pBdr>
          <w:top w:val="single" w:sz="4" w:space="1" w:color="auto"/>
          <w:left w:val="single" w:sz="4" w:space="4" w:color="auto"/>
          <w:bottom w:val="single" w:sz="4" w:space="1" w:color="auto"/>
          <w:right w:val="single" w:sz="4" w:space="4" w:color="auto"/>
        </w:pBdr>
        <w:spacing w:before="0" w:after="0" w:line="360" w:lineRule="auto"/>
        <w:jc w:val="both"/>
        <w:rPr>
          <w:rFonts w:cs="Arial"/>
          <w:bCs/>
        </w:rPr>
      </w:pPr>
      <w:r w:rsidRPr="00E404D4">
        <w:rPr>
          <w:rFonts w:cs="Arial"/>
          <w:bCs/>
        </w:rPr>
        <w:t>Les lieux de transfusion à l’intérieur du SU : Zone de soin scopée ou non</w:t>
      </w:r>
      <w:r>
        <w:rPr>
          <w:rFonts w:cs="Arial"/>
          <w:bCs/>
        </w:rPr>
        <w:t>, UHCD, etc…</w:t>
      </w:r>
    </w:p>
    <w:p w14:paraId="62F38674" w14:textId="77777777" w:rsidR="00BB5DB9" w:rsidRPr="00E404D4" w:rsidRDefault="00BB5DB9" w:rsidP="00BB5DB9">
      <w:pPr>
        <w:numPr>
          <w:ilvl w:val="0"/>
          <w:numId w:val="3"/>
        </w:numPr>
        <w:pBdr>
          <w:top w:val="single" w:sz="4" w:space="1" w:color="auto"/>
          <w:left w:val="single" w:sz="4" w:space="4" w:color="auto"/>
          <w:bottom w:val="single" w:sz="4" w:space="1" w:color="auto"/>
          <w:right w:val="single" w:sz="4" w:space="4" w:color="auto"/>
        </w:pBdr>
        <w:spacing w:before="0" w:after="0" w:line="360" w:lineRule="auto"/>
        <w:jc w:val="both"/>
        <w:rPr>
          <w:rFonts w:cs="Arial"/>
          <w:bCs/>
        </w:rPr>
      </w:pPr>
      <w:r>
        <w:rPr>
          <w:rFonts w:cs="Arial"/>
          <w:bCs/>
        </w:rPr>
        <w:t>Les caractéristiques du prescripteur (âge, grade, etc…)</w:t>
      </w:r>
    </w:p>
    <w:p w14:paraId="3379FD63" w14:textId="747E2D24" w:rsidR="00BB5DB9" w:rsidRPr="00E404D4" w:rsidRDefault="00BB5DB9" w:rsidP="00BB5DB9">
      <w:pPr>
        <w:numPr>
          <w:ilvl w:val="0"/>
          <w:numId w:val="3"/>
        </w:numPr>
        <w:pBdr>
          <w:top w:val="single" w:sz="4" w:space="1" w:color="auto"/>
          <w:left w:val="single" w:sz="4" w:space="4" w:color="auto"/>
          <w:bottom w:val="single" w:sz="4" w:space="1" w:color="auto"/>
          <w:right w:val="single" w:sz="4" w:space="4" w:color="auto"/>
        </w:pBdr>
        <w:spacing w:before="0" w:after="0" w:line="360" w:lineRule="auto"/>
        <w:jc w:val="both"/>
        <w:rPr>
          <w:rFonts w:cs="Arial"/>
          <w:bCs/>
        </w:rPr>
      </w:pPr>
      <w:r w:rsidRPr="00E404D4">
        <w:rPr>
          <w:rFonts w:cs="Arial"/>
          <w:bCs/>
        </w:rPr>
        <w:t xml:space="preserve">La charge de travail infirmière </w:t>
      </w:r>
      <w:r w:rsidR="00281047">
        <w:rPr>
          <w:rFonts w:cs="Arial"/>
          <w:bCs/>
        </w:rPr>
        <w:t xml:space="preserve">et médicale </w:t>
      </w:r>
      <w:r w:rsidRPr="00E404D4">
        <w:rPr>
          <w:rFonts w:cs="Arial"/>
          <w:bCs/>
        </w:rPr>
        <w:t xml:space="preserve">associée à l’acte transfusionnel, les délais de réalisation de </w:t>
      </w:r>
      <w:r w:rsidR="00281047">
        <w:rPr>
          <w:rFonts w:cs="Arial"/>
          <w:bCs/>
        </w:rPr>
        <w:t xml:space="preserve">cet </w:t>
      </w:r>
      <w:r w:rsidRPr="00E404D4">
        <w:rPr>
          <w:rFonts w:cs="Arial"/>
          <w:bCs/>
        </w:rPr>
        <w:t>acte.</w:t>
      </w:r>
    </w:p>
    <w:p w14:paraId="69FA925C" w14:textId="77777777" w:rsidR="00BB5DB9" w:rsidRPr="00E404D4" w:rsidRDefault="00BB5DB9" w:rsidP="00BB5DB9">
      <w:pPr>
        <w:numPr>
          <w:ilvl w:val="0"/>
          <w:numId w:val="3"/>
        </w:numPr>
        <w:pBdr>
          <w:top w:val="single" w:sz="4" w:space="1" w:color="auto"/>
          <w:left w:val="single" w:sz="4" w:space="4" w:color="auto"/>
          <w:bottom w:val="single" w:sz="4" w:space="1" w:color="auto"/>
          <w:right w:val="single" w:sz="4" w:space="4" w:color="auto"/>
        </w:pBdr>
        <w:spacing w:before="0" w:after="0" w:line="360" w:lineRule="auto"/>
        <w:jc w:val="both"/>
        <w:rPr>
          <w:rFonts w:cs="Arial"/>
          <w:bCs/>
        </w:rPr>
      </w:pPr>
      <w:r w:rsidRPr="00E404D4">
        <w:rPr>
          <w:rFonts w:cs="Arial"/>
          <w:bCs/>
        </w:rPr>
        <w:t>Les données relatives au parcours de soins du patient (routage : retour à domicile, hospitalisation, hospitalisation en soins intensifs)</w:t>
      </w:r>
    </w:p>
    <w:p w14:paraId="4CCDB3A1" w14:textId="29B30F47" w:rsidR="00BB5DB9" w:rsidRPr="00E404D4" w:rsidRDefault="00BB5DB9" w:rsidP="00BB5DB9">
      <w:pPr>
        <w:numPr>
          <w:ilvl w:val="0"/>
          <w:numId w:val="3"/>
        </w:numPr>
        <w:pBdr>
          <w:top w:val="single" w:sz="4" w:space="1" w:color="auto"/>
          <w:left w:val="single" w:sz="4" w:space="4" w:color="auto"/>
          <w:bottom w:val="single" w:sz="4" w:space="1" w:color="auto"/>
          <w:right w:val="single" w:sz="4" w:space="4" w:color="auto"/>
        </w:pBdr>
        <w:spacing w:before="0" w:after="0" w:line="360" w:lineRule="auto"/>
        <w:jc w:val="both"/>
        <w:rPr>
          <w:rFonts w:cs="Arial"/>
          <w:bCs/>
        </w:rPr>
      </w:pPr>
      <w:r w:rsidRPr="00E404D4">
        <w:rPr>
          <w:rFonts w:cs="Arial"/>
          <w:bCs/>
        </w:rPr>
        <w:t xml:space="preserve">Les données relatives </w:t>
      </w:r>
      <w:r w:rsidR="00EC2C77">
        <w:rPr>
          <w:rFonts w:cs="Arial"/>
          <w:bCs/>
        </w:rPr>
        <w:t>temps de séjour aux urgences</w:t>
      </w:r>
      <w:r w:rsidRPr="00E404D4">
        <w:rPr>
          <w:rFonts w:cs="Arial"/>
          <w:bCs/>
        </w:rPr>
        <w:t xml:space="preserve">. </w:t>
      </w:r>
    </w:p>
    <w:p w14:paraId="2D9A3630" w14:textId="77777777" w:rsidR="00BB5DB9" w:rsidRDefault="00BB5DB9" w:rsidP="00BB5DB9">
      <w:pPr>
        <w:numPr>
          <w:ilvl w:val="0"/>
          <w:numId w:val="3"/>
        </w:numPr>
        <w:pBdr>
          <w:top w:val="single" w:sz="4" w:space="1" w:color="auto"/>
          <w:left w:val="single" w:sz="4" w:space="4" w:color="auto"/>
          <w:bottom w:val="single" w:sz="4" w:space="1" w:color="auto"/>
          <w:right w:val="single" w:sz="4" w:space="4" w:color="auto"/>
        </w:pBdr>
        <w:spacing w:before="0" w:after="0" w:line="360" w:lineRule="auto"/>
        <w:jc w:val="both"/>
        <w:rPr>
          <w:rFonts w:cs="Arial"/>
          <w:bCs/>
        </w:rPr>
      </w:pPr>
      <w:r w:rsidRPr="00E404D4">
        <w:rPr>
          <w:rFonts w:cs="Arial"/>
          <w:bCs/>
        </w:rPr>
        <w:t>Les données de tolérance de la transfusion de CGR et relatifs à l’h</w:t>
      </w:r>
      <w:r>
        <w:rPr>
          <w:rFonts w:cs="Arial"/>
          <w:bCs/>
        </w:rPr>
        <w:t>é</w:t>
      </w:r>
      <w:r w:rsidRPr="00E404D4">
        <w:rPr>
          <w:rFonts w:cs="Arial"/>
          <w:bCs/>
        </w:rPr>
        <w:t>movigilance (effets indésirables, hospitalisations non prévues, etc…)</w:t>
      </w:r>
    </w:p>
    <w:p w14:paraId="5A3C39C3" w14:textId="6B3478AD" w:rsidR="00BB5DB9" w:rsidRPr="00C21621" w:rsidRDefault="00BB5DB9" w:rsidP="00AD1434">
      <w:pPr>
        <w:numPr>
          <w:ilvl w:val="0"/>
          <w:numId w:val="3"/>
        </w:numPr>
        <w:pBdr>
          <w:top w:val="single" w:sz="4" w:space="1" w:color="auto"/>
          <w:left w:val="single" w:sz="4" w:space="4" w:color="auto"/>
          <w:bottom w:val="single" w:sz="4" w:space="1" w:color="auto"/>
          <w:right w:val="single" w:sz="4" w:space="4" w:color="auto"/>
        </w:pBdr>
        <w:spacing w:before="0" w:after="0" w:line="360" w:lineRule="auto"/>
        <w:jc w:val="both"/>
        <w:rPr>
          <w:rFonts w:cs="Arial"/>
          <w:bCs/>
        </w:rPr>
      </w:pPr>
      <w:r>
        <w:rPr>
          <w:rFonts w:cs="Arial"/>
          <w:bCs/>
        </w:rPr>
        <w:t>Les données relatives au contrôle paraclinique de la bonne tolérance de la transfusion, et de sa rentabilité (NFS de contrôles, etc…)</w:t>
      </w:r>
    </w:p>
    <w:p w14:paraId="0E6230EC" w14:textId="70E6391E" w:rsidR="00BB5DB9" w:rsidRPr="004B5C32" w:rsidRDefault="00BB5DB9" w:rsidP="008577BB">
      <w:pPr>
        <w:pStyle w:val="Titre3"/>
        <w:spacing w:line="360" w:lineRule="auto"/>
      </w:pPr>
      <w:r w:rsidRPr="00E404D4">
        <w:t>Analyses Statistiques classiques</w:t>
      </w:r>
    </w:p>
    <w:p w14:paraId="04879ACE" w14:textId="417EF150" w:rsidR="00BB5DB9" w:rsidRPr="00E404D4" w:rsidRDefault="00BB5DB9" w:rsidP="008577BB">
      <w:pPr>
        <w:spacing w:line="360" w:lineRule="auto"/>
        <w:rPr>
          <w:rFonts w:cs="Arial"/>
          <w:bCs/>
        </w:rPr>
      </w:pPr>
      <w:r w:rsidRPr="00E404D4">
        <w:rPr>
          <w:rFonts w:cs="Arial"/>
          <w:bCs/>
        </w:rPr>
        <w:t xml:space="preserve">Pour cette étude, un descriptif complet des variables sera effectué, les variables qualitatives et les variables binaires seront décrites par leurs effectifs et leur pourcentage. Les variables quantitatives par leur moyenne, leur médiane. </w:t>
      </w:r>
      <w:r w:rsidR="004B5C32">
        <w:rPr>
          <w:rFonts w:cs="Arial"/>
          <w:bCs/>
        </w:rPr>
        <w:t xml:space="preserve"> </w:t>
      </w:r>
      <w:r w:rsidRPr="00E404D4">
        <w:rPr>
          <w:rFonts w:cs="Arial"/>
          <w:bCs/>
        </w:rPr>
        <w:t xml:space="preserve">En cas de comparaison de variable qualitative, un test du Chi 2 sera réalisé quand les conditions seront réunies (effectifs théoriques supérieurs ou égaux à 5). Dans le cas contraire, un test de Fisher exact sera réalisé. Pour ces tests, le seuil de significativité sera fixé à 5%. En cas de comparaison entre variables qualitatives et variables quantitatives, un test de </w:t>
      </w:r>
      <w:proofErr w:type="spellStart"/>
      <w:r w:rsidRPr="00E404D4">
        <w:rPr>
          <w:rFonts w:cs="Arial"/>
          <w:bCs/>
        </w:rPr>
        <w:t>Student</w:t>
      </w:r>
      <w:proofErr w:type="spellEnd"/>
      <w:r w:rsidRPr="00E404D4">
        <w:rPr>
          <w:rFonts w:cs="Arial"/>
          <w:bCs/>
        </w:rPr>
        <w:t xml:space="preserve"> sera réalisé lorsque les effectifs seront supérieurs ou égaux à 30, dans le cas contraire, un test non-paramétrique de Wilcoxon indépendant sera réalisé. Les seuils de significativité seront aussi fixés à 5%.</w:t>
      </w:r>
    </w:p>
    <w:p w14:paraId="614A81D6" w14:textId="6431FE9B" w:rsidR="00BB5DB9" w:rsidRPr="00E404D4" w:rsidRDefault="00BB5DB9" w:rsidP="004B5C32">
      <w:pPr>
        <w:pStyle w:val="Titre3"/>
      </w:pPr>
      <w:r w:rsidRPr="00E404D4">
        <w:lastRenderedPageBreak/>
        <w:t>Analyse médico-économique </w:t>
      </w:r>
    </w:p>
    <w:p w14:paraId="0263E702" w14:textId="326912E4" w:rsidR="00BB5DB9" w:rsidRPr="00E404D4" w:rsidRDefault="00BB5DB9" w:rsidP="008577BB">
      <w:pPr>
        <w:spacing w:before="240" w:after="0" w:line="360" w:lineRule="auto"/>
        <w:jc w:val="both"/>
      </w:pPr>
      <w:r w:rsidRPr="00E404D4">
        <w:t>L’objectif de l’analyse médico-économique sera d’évaluer le volume économique, via les coûts, généré par cette prise en charge pour transfusion sanguine au sein des services d’urgences des établissements de santé participants. Les coûts pris en compte seront de trois types : les coûts inhérents à la réalisation de la transfusion sanguine, les coûts issus de complications éventuelles entrainant une hospitalisation et les coûts induits par le passage du patient dans le service d’urgence.</w:t>
      </w:r>
    </w:p>
    <w:p w14:paraId="60AAD7D6" w14:textId="77558A91" w:rsidR="00BB5DB9" w:rsidRDefault="00BB5DB9" w:rsidP="00BB5DB9">
      <w:pPr>
        <w:spacing w:before="240" w:line="360" w:lineRule="auto"/>
        <w:jc w:val="both"/>
      </w:pPr>
      <w:r w:rsidRPr="00E404D4">
        <w:t xml:space="preserve">Concernant les coûts liés à la transfusion sanguine, </w:t>
      </w:r>
      <w:r w:rsidR="006D1B0A">
        <w:t>l</w:t>
      </w:r>
      <w:r w:rsidRPr="00E404D4">
        <w:t xml:space="preserve">es coûts de personnel ne comprendront que le personnel directement impliqué dans la prestation des soins (médecins, infirmières et personnel de service) et seront basés sur les coûts de masse salariale chargée et le recueil </w:t>
      </w:r>
      <w:r>
        <w:t xml:space="preserve">au lit </w:t>
      </w:r>
      <w:r w:rsidRPr="00E404D4">
        <w:t xml:space="preserve">des temps passés par les différents personnels dans la prise en charge du patient. </w:t>
      </w:r>
    </w:p>
    <w:p w14:paraId="15270B74" w14:textId="77777777" w:rsidR="00BB5DB9" w:rsidRDefault="00BB5DB9" w:rsidP="00BB5DB9">
      <w:pPr>
        <w:spacing w:before="240" w:line="360" w:lineRule="auto"/>
        <w:jc w:val="both"/>
      </w:pPr>
      <w:r w:rsidRPr="00E404D4">
        <w:t>Pour les coûts induits par d’éventuelles complications entrainées par la transfusion et qui nécessiteront une hospitalisation seront mesurés pour chaque patient dans le cadre du Groupe Homogène de Séjour (GHS). Les coûts supplémentaires (réanimation, soins intensifs, etc.) et les molécules non remboursées seront pris en compte en plus du séjour à l'hôpital. L’enquête Nationale de Coûts (ENC) sera donc mobilisée pour les estimer.</w:t>
      </w:r>
    </w:p>
    <w:p w14:paraId="13DFA123" w14:textId="4950DB44" w:rsidR="000434E0" w:rsidRDefault="00BB5DB9" w:rsidP="006D1B0A">
      <w:pPr>
        <w:spacing w:line="360" w:lineRule="auto"/>
      </w:pPr>
      <w:r w:rsidRPr="00E404D4">
        <w:t xml:space="preserve">Enfin, </w:t>
      </w:r>
      <w:r>
        <w:t>les coûts annexes induits par le passage du patient dans le service d’urgence seront évalués par le nombre d’intervenants, le temps passé par chaque intervenant sera évalué à dire d’expert, les examens annexes réalisés.</w:t>
      </w:r>
      <w:r w:rsidRPr="00E404D4">
        <w:t xml:space="preserve"> L’enjeu de cette estimation sera d’avoir une estimation de coût la plus représentative de l’ensemble des établissements français</w:t>
      </w:r>
    </w:p>
    <w:p w14:paraId="7E480D82" w14:textId="0C197B54" w:rsidR="008C2B54" w:rsidRPr="00E404D4" w:rsidRDefault="008C2B54" w:rsidP="008C2B54">
      <w:pPr>
        <w:pStyle w:val="Titre2"/>
      </w:pPr>
      <w:r w:rsidRPr="00E404D4">
        <w:t>Aspect</w:t>
      </w:r>
      <w:r>
        <w:t>s</w:t>
      </w:r>
      <w:r w:rsidRPr="00E404D4">
        <w:t xml:space="preserve"> Règlementaire</w:t>
      </w:r>
      <w:r>
        <w:t>s</w:t>
      </w:r>
    </w:p>
    <w:p w14:paraId="52AD9943" w14:textId="12EBF0BD" w:rsidR="008C2B54" w:rsidRPr="00E404D4" w:rsidRDefault="008C2B54" w:rsidP="008C2B54">
      <w:pPr>
        <w:spacing w:line="240" w:lineRule="auto"/>
        <w:rPr>
          <w:rFonts w:cs="Arial"/>
        </w:rPr>
      </w:pPr>
      <w:r w:rsidRPr="00E404D4">
        <w:rPr>
          <w:rFonts w:cs="Arial"/>
        </w:rPr>
        <w:t xml:space="preserve">Analyse des pratiques professionnelles hors Loi Jardé </w:t>
      </w:r>
    </w:p>
    <w:p w14:paraId="155EB5CA" w14:textId="5C3BE1E8" w:rsidR="008C2B54" w:rsidRPr="00E404D4" w:rsidRDefault="008C2B54" w:rsidP="008C2B54">
      <w:pPr>
        <w:rPr>
          <w:rFonts w:cs="Arial"/>
        </w:rPr>
      </w:pPr>
      <w:r w:rsidRPr="00E404D4">
        <w:rPr>
          <w:rFonts w:cs="Arial"/>
        </w:rPr>
        <w:t xml:space="preserve">Accord du comité local scientifique du promoteur : Le CERDE/HLJ </w:t>
      </w:r>
      <w:r>
        <w:rPr>
          <w:rFonts w:cs="Arial"/>
        </w:rPr>
        <w:t xml:space="preserve">a donné un avis favorable le </w:t>
      </w:r>
      <w:r w:rsidR="00D3476E">
        <w:rPr>
          <w:rFonts w:cs="Arial"/>
        </w:rPr>
        <w:t>27 septembre 2021</w:t>
      </w:r>
      <w:r>
        <w:rPr>
          <w:rFonts w:cs="Arial"/>
        </w:rPr>
        <w:t xml:space="preserve"> </w:t>
      </w:r>
      <w:r w:rsidR="00D3476E">
        <w:rPr>
          <w:rFonts w:cs="Arial"/>
        </w:rPr>
        <w:t>(</w:t>
      </w:r>
      <w:r w:rsidR="002F1C5B">
        <w:rPr>
          <w:rFonts w:cs="Arial"/>
        </w:rPr>
        <w:t xml:space="preserve">accord </w:t>
      </w:r>
      <w:r>
        <w:rPr>
          <w:rFonts w:cs="Arial"/>
        </w:rPr>
        <w:t>n°</w:t>
      </w:r>
      <w:r w:rsidR="002F1C5B">
        <w:rPr>
          <w:rFonts w:cs="Arial"/>
        </w:rPr>
        <w:t>E2021-69)</w:t>
      </w:r>
      <w:r w:rsidR="002F1C5B" w:rsidRPr="00E404D4">
        <w:rPr>
          <w:rFonts w:cs="Arial"/>
        </w:rPr>
        <w:t xml:space="preserve"> </w:t>
      </w:r>
    </w:p>
    <w:p w14:paraId="18DEDB5D" w14:textId="768EED10" w:rsidR="008C2B54" w:rsidRDefault="008C2B54" w:rsidP="008C2B54">
      <w:pPr>
        <w:spacing w:line="360" w:lineRule="auto"/>
        <w:jc w:val="both"/>
        <w:rPr>
          <w:rFonts w:cs="Arial"/>
        </w:rPr>
      </w:pPr>
      <w:r w:rsidRPr="00E404D4">
        <w:rPr>
          <w:rFonts w:cs="Arial"/>
        </w:rPr>
        <w:t xml:space="preserve">Accord </w:t>
      </w:r>
      <w:r w:rsidRPr="00E404D4">
        <w:rPr>
          <w:rStyle w:val="lev"/>
          <w:b w:val="0"/>
        </w:rPr>
        <w:t>Commission Nationale de l'Informatique et des Libertés</w:t>
      </w:r>
      <w:r w:rsidRPr="00E404D4">
        <w:rPr>
          <w:rFonts w:cs="Arial"/>
        </w:rPr>
        <w:t xml:space="preserve"> (CNIL)</w:t>
      </w:r>
      <w:r w:rsidR="002F1C5B">
        <w:rPr>
          <w:rFonts w:cs="Arial"/>
        </w:rPr>
        <w:t xml:space="preserve"> </w:t>
      </w:r>
      <w:r w:rsidR="00FC4CB7" w:rsidRPr="005C3323">
        <w:rPr>
          <w:rFonts w:ascii="Arial" w:hAnsi="Arial" w:cs="Arial"/>
        </w:rPr>
        <w:t>MR004</w:t>
      </w:r>
    </w:p>
    <w:p w14:paraId="71190B10" w14:textId="77777777" w:rsidR="00DA1D7A" w:rsidRPr="00C21621" w:rsidRDefault="008C2B54" w:rsidP="00C21621">
      <w:pPr>
        <w:spacing w:line="360" w:lineRule="auto"/>
        <w:jc w:val="both"/>
        <w:rPr>
          <w:rFonts w:cs="Arial"/>
        </w:rPr>
      </w:pPr>
      <w:r>
        <w:rPr>
          <w:rFonts w:cs="Arial"/>
        </w:rPr>
        <w:t>Une simple lettre d’information est à remettre au patient.</w:t>
      </w:r>
      <w:r w:rsidR="00DA1D7A">
        <w:br w:type="page"/>
      </w:r>
    </w:p>
    <w:p w14:paraId="7A66D1D3" w14:textId="77777777" w:rsidR="00DA1D7A" w:rsidRPr="00E404D4" w:rsidRDefault="00DA1D7A" w:rsidP="00DA1D7A">
      <w:pPr>
        <w:spacing w:line="360" w:lineRule="auto"/>
        <w:rPr>
          <w:rFonts w:cs="Arial"/>
          <w:b/>
        </w:rPr>
      </w:pPr>
      <w:r w:rsidRPr="00E404D4">
        <w:rPr>
          <w:rFonts w:cs="Arial"/>
          <w:b/>
        </w:rPr>
        <w:lastRenderedPageBreak/>
        <w:t xml:space="preserve">- Promotion : </w:t>
      </w:r>
      <w:r w:rsidRPr="001D1254">
        <w:rPr>
          <w:rFonts w:cs="Arial"/>
        </w:rPr>
        <w:t>CHU de Rouen</w:t>
      </w:r>
    </w:p>
    <w:p w14:paraId="558C86C2" w14:textId="77777777" w:rsidR="00DA1D7A" w:rsidRPr="009412B1" w:rsidRDefault="00DA1D7A" w:rsidP="00DA1D7A">
      <w:pPr>
        <w:spacing w:line="360" w:lineRule="auto"/>
        <w:rPr>
          <w:rFonts w:cs="Arial"/>
          <w:b/>
        </w:rPr>
      </w:pPr>
      <w:r w:rsidRPr="00E404D4">
        <w:rPr>
          <w:rFonts w:cs="Arial"/>
          <w:b/>
        </w:rPr>
        <w:t xml:space="preserve">-Investigateur coordinateur : </w:t>
      </w:r>
      <w:r w:rsidRPr="009412B1">
        <w:rPr>
          <w:rFonts w:cs="Arial"/>
          <w:bCs/>
        </w:rPr>
        <w:t>Dr Virginie Eve Lvovschi</w:t>
      </w:r>
      <w:r w:rsidRPr="00E404D4">
        <w:rPr>
          <w:rFonts w:cs="Arial"/>
          <w:b/>
        </w:rPr>
        <w:t xml:space="preserve">, </w:t>
      </w:r>
      <w:r w:rsidRPr="00E404D4">
        <w:rPr>
          <w:rFonts w:cs="Arial"/>
        </w:rPr>
        <w:t>SU CHU Rouen Charles Nicolle, Inserm 1073,</w:t>
      </w:r>
      <w:r w:rsidRPr="00E404D4">
        <w:rPr>
          <w:rFonts w:cs="Arial"/>
          <w:b/>
        </w:rPr>
        <w:t xml:space="preserve"> </w:t>
      </w:r>
      <w:r w:rsidRPr="00E404D4">
        <w:rPr>
          <w:rFonts w:cs="Arial"/>
        </w:rPr>
        <w:t>Université de Rouen</w:t>
      </w:r>
      <w:r>
        <w:rPr>
          <w:rFonts w:cs="Arial"/>
        </w:rPr>
        <w:t>, virginie.lvovschi@chu-rouen.fr</w:t>
      </w:r>
    </w:p>
    <w:p w14:paraId="0B1AAB1A" w14:textId="77777777" w:rsidR="00DA1D7A" w:rsidRPr="00E404D4" w:rsidRDefault="00DA1D7A" w:rsidP="00DA1D7A">
      <w:pPr>
        <w:spacing w:line="360" w:lineRule="auto"/>
        <w:rPr>
          <w:rFonts w:cs="Arial"/>
          <w:b/>
        </w:rPr>
      </w:pPr>
      <w:r w:rsidRPr="00E404D4">
        <w:rPr>
          <w:rFonts w:cs="Arial"/>
          <w:b/>
        </w:rPr>
        <w:t xml:space="preserve">- </w:t>
      </w:r>
      <w:r>
        <w:rPr>
          <w:rFonts w:cs="Arial"/>
          <w:b/>
        </w:rPr>
        <w:t>Co-r</w:t>
      </w:r>
      <w:r w:rsidRPr="00E404D4">
        <w:rPr>
          <w:rFonts w:cs="Arial"/>
          <w:b/>
        </w:rPr>
        <w:t xml:space="preserve">éférents </w:t>
      </w:r>
      <w:proofErr w:type="gramStart"/>
      <w:r w:rsidRPr="00E404D4">
        <w:rPr>
          <w:rFonts w:cs="Arial"/>
          <w:b/>
        </w:rPr>
        <w:t>scientifiques:</w:t>
      </w:r>
      <w:proofErr w:type="gramEnd"/>
    </w:p>
    <w:p w14:paraId="1922CA22" w14:textId="77777777" w:rsidR="00DA1D7A" w:rsidRPr="009412B1" w:rsidRDefault="00DA1D7A" w:rsidP="00DA1D7A">
      <w:pPr>
        <w:spacing w:line="360" w:lineRule="auto"/>
        <w:rPr>
          <w:rFonts w:cs="Arial"/>
          <w:bCs/>
        </w:rPr>
      </w:pPr>
      <w:r w:rsidRPr="009412B1">
        <w:rPr>
          <w:rFonts w:cs="Arial"/>
          <w:bCs/>
        </w:rPr>
        <w:t>Pr Luc-Marie Joly, Chef de service du SU CHU Rouen Charles Nicolle</w:t>
      </w:r>
    </w:p>
    <w:p w14:paraId="66B12AFA" w14:textId="77777777" w:rsidR="00DA1D7A" w:rsidRPr="009412B1" w:rsidRDefault="00DA1D7A" w:rsidP="00DA1D7A">
      <w:pPr>
        <w:spacing w:line="360" w:lineRule="auto"/>
        <w:rPr>
          <w:rFonts w:cs="Arial"/>
          <w:bCs/>
        </w:rPr>
      </w:pPr>
      <w:r w:rsidRPr="009412B1">
        <w:rPr>
          <w:rFonts w:cs="Arial"/>
          <w:bCs/>
        </w:rPr>
        <w:t>Dr Elie Lacroix, Economiste de la santé, Département de Biostatistiques CHU Rouen Charles Nicolle</w:t>
      </w:r>
    </w:p>
    <w:p w14:paraId="35CAB49A" w14:textId="77777777" w:rsidR="00DA1D7A" w:rsidRPr="00E404D4" w:rsidRDefault="00DA1D7A" w:rsidP="00DA1D7A">
      <w:pPr>
        <w:spacing w:line="360" w:lineRule="auto"/>
        <w:rPr>
          <w:rStyle w:val="acopre"/>
          <w:b/>
          <w:bCs/>
        </w:rPr>
      </w:pPr>
      <w:r w:rsidRPr="009412B1">
        <w:rPr>
          <w:bCs/>
        </w:rPr>
        <w:t xml:space="preserve">Dr Isabelle Maréchal, </w:t>
      </w:r>
      <w:r w:rsidRPr="009412B1">
        <w:rPr>
          <w:rStyle w:val="acopre"/>
          <w:bCs/>
        </w:rPr>
        <w:t>Département</w:t>
      </w:r>
      <w:r w:rsidRPr="00E404D4">
        <w:rPr>
          <w:rStyle w:val="acopre"/>
        </w:rPr>
        <w:t xml:space="preserve"> de la Sécurisation de la Transfusion et de l’Identification Patient, Pôle Santé Publique Evaluation Support Médical, CHU Rouen Charles Nicolle</w:t>
      </w:r>
    </w:p>
    <w:p w14:paraId="3C7F547B" w14:textId="5AB7ED2D" w:rsidR="00DA1D7A" w:rsidRDefault="00DA1D7A" w:rsidP="00DA1D7A">
      <w:r w:rsidRPr="00576702">
        <w:rPr>
          <w:b/>
          <w:bCs/>
        </w:rPr>
        <w:t>-IRC référente du projet :</w:t>
      </w:r>
      <w:r>
        <w:t xml:space="preserve"> Jessica </w:t>
      </w:r>
      <w:proofErr w:type="spellStart"/>
      <w:r>
        <w:t>Bortzmeyer</w:t>
      </w:r>
      <w:proofErr w:type="spellEnd"/>
      <w:r>
        <w:t xml:space="preserve">, </w:t>
      </w:r>
      <w:r w:rsidRPr="00E404D4">
        <w:rPr>
          <w:rFonts w:cs="Arial"/>
        </w:rPr>
        <w:t>SU CHU Rouen Charles Nicolle</w:t>
      </w:r>
      <w:r>
        <w:rPr>
          <w:rFonts w:cs="Arial"/>
        </w:rPr>
        <w:t xml:space="preserve">, </w:t>
      </w:r>
      <w:r w:rsidR="00EF442B">
        <w:rPr>
          <w:rFonts w:cs="Arial"/>
        </w:rPr>
        <w:t>Recheche</w:t>
      </w:r>
      <w:r>
        <w:rPr>
          <w:rFonts w:cs="Arial"/>
        </w:rPr>
        <w:t>.</w:t>
      </w:r>
      <w:r w:rsidR="00EF442B">
        <w:rPr>
          <w:rFonts w:cs="Arial"/>
        </w:rPr>
        <w:t>SAU</w:t>
      </w:r>
      <w:r>
        <w:rPr>
          <w:rFonts w:cs="Arial"/>
        </w:rPr>
        <w:t>@chu-rouen.fr</w:t>
      </w:r>
    </w:p>
    <w:p w14:paraId="7BD8D908" w14:textId="77777777" w:rsidR="00DA1D7A" w:rsidRDefault="00DA1D7A" w:rsidP="00DA1D7A"/>
    <w:p w14:paraId="490B0CC1" w14:textId="77777777" w:rsidR="00DA1D7A" w:rsidRDefault="00DA1D7A" w:rsidP="00DA1D7A"/>
    <w:p w14:paraId="47F523E6" w14:textId="77777777" w:rsidR="00DA1D7A" w:rsidRDefault="00DA1D7A" w:rsidP="00DA1D7A"/>
    <w:p w14:paraId="226F1BF4" w14:textId="77777777" w:rsidR="00DA1D7A" w:rsidRDefault="00DA1D7A" w:rsidP="00DA1D7A"/>
    <w:p w14:paraId="1B901A9D" w14:textId="77777777" w:rsidR="00DA1D7A" w:rsidRDefault="00DA1D7A" w:rsidP="00DA1D7A"/>
    <w:p w14:paraId="0259AAA4" w14:textId="77777777" w:rsidR="00DA1D7A" w:rsidRDefault="00DA1D7A" w:rsidP="00DA1D7A"/>
    <w:p w14:paraId="44F4127F" w14:textId="77777777" w:rsidR="00DA1D7A" w:rsidRDefault="00DA1D7A" w:rsidP="00DA1D7A"/>
    <w:p w14:paraId="62765F77" w14:textId="77777777" w:rsidR="00DA1D7A" w:rsidRDefault="00DA1D7A" w:rsidP="00DA1D7A"/>
    <w:p w14:paraId="72393417" w14:textId="77777777" w:rsidR="00DA1D7A" w:rsidRDefault="00DA1D7A" w:rsidP="00DA1D7A"/>
    <w:p w14:paraId="17904AB9" w14:textId="77777777" w:rsidR="00DA1D7A" w:rsidRDefault="00DA1D7A" w:rsidP="00DA1D7A"/>
    <w:p w14:paraId="158F5222" w14:textId="77777777" w:rsidR="00DA1D7A" w:rsidRDefault="00DA1D7A" w:rsidP="00DA1D7A"/>
    <w:p w14:paraId="364E9B4C" w14:textId="77777777" w:rsidR="00DA1D7A" w:rsidRDefault="00DA1D7A" w:rsidP="00DA1D7A"/>
    <w:p w14:paraId="00A88E40" w14:textId="77777777" w:rsidR="00DA1D7A" w:rsidRDefault="00DA1D7A" w:rsidP="00DA1D7A"/>
    <w:p w14:paraId="5D65E658" w14:textId="77777777" w:rsidR="00DA1D7A" w:rsidRDefault="00DA1D7A" w:rsidP="00DA1D7A"/>
    <w:p w14:paraId="2942A78C" w14:textId="77777777" w:rsidR="00DA1D7A" w:rsidRDefault="00DA1D7A" w:rsidP="00DA1D7A"/>
    <w:p w14:paraId="7D22622C" w14:textId="77777777" w:rsidR="00DA1D7A" w:rsidRDefault="00DA1D7A" w:rsidP="00DA1D7A"/>
    <w:p w14:paraId="2B1D3AA8" w14:textId="77777777" w:rsidR="00DA1D7A" w:rsidRDefault="00DA1D7A" w:rsidP="00DA1D7A"/>
    <w:p w14:paraId="1B5FFE80" w14:textId="77777777" w:rsidR="00DA1D7A" w:rsidRDefault="00DA1D7A" w:rsidP="00DA1D7A"/>
    <w:p w14:paraId="4CB32235" w14:textId="1072FD82" w:rsidR="00554CD6" w:rsidRDefault="00554CD6">
      <w:r>
        <w:br w:type="page"/>
      </w:r>
    </w:p>
    <w:p w14:paraId="26741ADA" w14:textId="37121EDE" w:rsidR="00DA1D7A" w:rsidRDefault="00554CD6" w:rsidP="00554CD6">
      <w:pPr>
        <w:pStyle w:val="Titre1"/>
      </w:pPr>
      <w:r>
        <w:lastRenderedPageBreak/>
        <w:t>Documents de l’étude</w:t>
      </w:r>
    </w:p>
    <w:p w14:paraId="550E17D0" w14:textId="77777777" w:rsidR="00554CD6" w:rsidRDefault="00554CD6" w:rsidP="00DA1D7A"/>
    <w:p w14:paraId="3220AF05" w14:textId="1AA4B6C2" w:rsidR="00EC4D29" w:rsidRDefault="00EC4D29" w:rsidP="00EC4D29">
      <w:pPr>
        <w:pStyle w:val="Titre2"/>
      </w:pPr>
      <w:r>
        <w:t>Annexe 1 Fiche centre inclueur</w:t>
      </w:r>
    </w:p>
    <w:p w14:paraId="04F8C66B" w14:textId="77777777" w:rsidR="00EC4D29" w:rsidRDefault="00EC4D29" w:rsidP="00DA1D7A"/>
    <w:p w14:paraId="3683F3E5" w14:textId="7ED67C15" w:rsidR="008577BB" w:rsidRDefault="00554CD6" w:rsidP="00554CD6">
      <w:pPr>
        <w:pStyle w:val="Titre2"/>
      </w:pPr>
      <w:r>
        <w:t xml:space="preserve">Annexe </w:t>
      </w:r>
      <w:r w:rsidR="00EC4D29">
        <w:t>2</w:t>
      </w:r>
      <w:r>
        <w:t xml:space="preserve"> CRF papier</w:t>
      </w:r>
    </w:p>
    <w:p w14:paraId="74A2B875" w14:textId="77777777" w:rsidR="00554CD6" w:rsidRDefault="00554CD6" w:rsidP="00554CD6"/>
    <w:p w14:paraId="7A0CDCE1" w14:textId="47D21D44" w:rsidR="00554CD6" w:rsidRPr="00554CD6" w:rsidRDefault="00554CD6" w:rsidP="00554CD6">
      <w:pPr>
        <w:pStyle w:val="Titre2"/>
      </w:pPr>
      <w:r>
        <w:t xml:space="preserve">Annexe </w:t>
      </w:r>
      <w:r w:rsidR="00EC4D29">
        <w:t>3</w:t>
      </w:r>
      <w:r>
        <w:t xml:space="preserve"> lettre d’information</w:t>
      </w:r>
    </w:p>
    <w:sectPr w:rsidR="00554CD6" w:rsidRPr="00554CD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EBC5E" w14:textId="77777777" w:rsidR="003765C7" w:rsidRDefault="003765C7" w:rsidP="009B2DCA">
      <w:pPr>
        <w:spacing w:before="0" w:after="0" w:line="240" w:lineRule="auto"/>
      </w:pPr>
      <w:r>
        <w:separator/>
      </w:r>
    </w:p>
  </w:endnote>
  <w:endnote w:type="continuationSeparator" w:id="0">
    <w:p w14:paraId="0638638C" w14:textId="77777777" w:rsidR="003765C7" w:rsidRDefault="003765C7" w:rsidP="009B2DC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loo">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088D9" w14:textId="483BE8E5" w:rsidR="00282524" w:rsidRPr="00282524" w:rsidRDefault="00282524">
    <w:pPr>
      <w:pStyle w:val="Pieddepage"/>
      <w:rPr>
        <w:color w:val="4472C4" w:themeColor="accent1"/>
      </w:rPr>
    </w:pPr>
    <w:r>
      <w:rPr>
        <w:noProof/>
        <w:color w:val="4472C4" w:themeColor="accent1"/>
      </w:rPr>
      <mc:AlternateContent>
        <mc:Choice Requires="wps">
          <w:drawing>
            <wp:anchor distT="0" distB="0" distL="114300" distR="114300" simplePos="0" relativeHeight="251659264" behindDoc="0" locked="0" layoutInCell="1" allowOverlap="1" wp14:anchorId="15220FDD" wp14:editId="56C75F22">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A9E9B58"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747070 [1614]" strokeweight="1.25pt">
              <w10:wrap anchorx="page" anchory="page"/>
            </v:rect>
          </w:pict>
        </mc:Fallback>
      </mc:AlternateContent>
    </w:r>
    <w:r>
      <w:rPr>
        <w:color w:val="4472C4" w:themeColor="accent1"/>
      </w:rPr>
      <w:t>Version 07dec2021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A5CCE" w14:textId="77777777" w:rsidR="003765C7" w:rsidRDefault="003765C7" w:rsidP="009B2DCA">
      <w:pPr>
        <w:spacing w:before="0" w:after="0" w:line="240" w:lineRule="auto"/>
      </w:pPr>
      <w:r>
        <w:separator/>
      </w:r>
    </w:p>
  </w:footnote>
  <w:footnote w:type="continuationSeparator" w:id="0">
    <w:p w14:paraId="6BB3AA11" w14:textId="77777777" w:rsidR="003765C7" w:rsidRDefault="003765C7" w:rsidP="009B2DCA">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84328"/>
    <w:multiLevelType w:val="hybridMultilevel"/>
    <w:tmpl w:val="F9F00594"/>
    <w:lvl w:ilvl="0" w:tplc="25B87C1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50C40F0"/>
    <w:multiLevelType w:val="hybridMultilevel"/>
    <w:tmpl w:val="A2563226"/>
    <w:lvl w:ilvl="0" w:tplc="58E835F2">
      <w:start w:val="15"/>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A3A03A9"/>
    <w:multiLevelType w:val="hybridMultilevel"/>
    <w:tmpl w:val="3B465DC4"/>
    <w:lvl w:ilvl="0" w:tplc="DEDC553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FA405B6"/>
    <w:multiLevelType w:val="hybridMultilevel"/>
    <w:tmpl w:val="87647B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DD338EF"/>
    <w:multiLevelType w:val="hybridMultilevel"/>
    <w:tmpl w:val="94F285AA"/>
    <w:lvl w:ilvl="0" w:tplc="2968F320">
      <w:start w:val="2019"/>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2E7"/>
    <w:rsid w:val="0000566D"/>
    <w:rsid w:val="00005C33"/>
    <w:rsid w:val="000100AA"/>
    <w:rsid w:val="0003441C"/>
    <w:rsid w:val="000434E0"/>
    <w:rsid w:val="0006095B"/>
    <w:rsid w:val="00075F1C"/>
    <w:rsid w:val="000C6B49"/>
    <w:rsid w:val="000D00E8"/>
    <w:rsid w:val="000D02E7"/>
    <w:rsid w:val="00151CD5"/>
    <w:rsid w:val="001C412D"/>
    <w:rsid w:val="002027EF"/>
    <w:rsid w:val="00204145"/>
    <w:rsid w:val="002419C3"/>
    <w:rsid w:val="002516D6"/>
    <w:rsid w:val="00281047"/>
    <w:rsid w:val="002818BD"/>
    <w:rsid w:val="00282524"/>
    <w:rsid w:val="00291C78"/>
    <w:rsid w:val="002F1C5B"/>
    <w:rsid w:val="00362A5C"/>
    <w:rsid w:val="00374117"/>
    <w:rsid w:val="003765C7"/>
    <w:rsid w:val="00381EB8"/>
    <w:rsid w:val="00383FE1"/>
    <w:rsid w:val="003C4539"/>
    <w:rsid w:val="00426CD8"/>
    <w:rsid w:val="00441105"/>
    <w:rsid w:val="00446B9B"/>
    <w:rsid w:val="00457CFE"/>
    <w:rsid w:val="004B5C32"/>
    <w:rsid w:val="004C548F"/>
    <w:rsid w:val="00502F58"/>
    <w:rsid w:val="00554CD6"/>
    <w:rsid w:val="00566C74"/>
    <w:rsid w:val="00576702"/>
    <w:rsid w:val="00582312"/>
    <w:rsid w:val="0058467A"/>
    <w:rsid w:val="00593E2A"/>
    <w:rsid w:val="005E571F"/>
    <w:rsid w:val="00604E7C"/>
    <w:rsid w:val="00670CC5"/>
    <w:rsid w:val="00676F1C"/>
    <w:rsid w:val="006A00D2"/>
    <w:rsid w:val="006D1B0A"/>
    <w:rsid w:val="00720F5A"/>
    <w:rsid w:val="00783C97"/>
    <w:rsid w:val="007B03CD"/>
    <w:rsid w:val="007E3EA3"/>
    <w:rsid w:val="007E47C0"/>
    <w:rsid w:val="007F5303"/>
    <w:rsid w:val="008058E9"/>
    <w:rsid w:val="00856834"/>
    <w:rsid w:val="008577BB"/>
    <w:rsid w:val="0088476D"/>
    <w:rsid w:val="00894CBE"/>
    <w:rsid w:val="008C2B54"/>
    <w:rsid w:val="009379CE"/>
    <w:rsid w:val="009412B1"/>
    <w:rsid w:val="00941843"/>
    <w:rsid w:val="009B2DCA"/>
    <w:rsid w:val="009C4558"/>
    <w:rsid w:val="009F4DF8"/>
    <w:rsid w:val="00A73C85"/>
    <w:rsid w:val="00AB108D"/>
    <w:rsid w:val="00AB23C8"/>
    <w:rsid w:val="00AD1434"/>
    <w:rsid w:val="00AD4C4E"/>
    <w:rsid w:val="00B51444"/>
    <w:rsid w:val="00BA6537"/>
    <w:rsid w:val="00BB5DB9"/>
    <w:rsid w:val="00C07E99"/>
    <w:rsid w:val="00C10F7D"/>
    <w:rsid w:val="00C21621"/>
    <w:rsid w:val="00C57B2D"/>
    <w:rsid w:val="00CE3939"/>
    <w:rsid w:val="00CF281D"/>
    <w:rsid w:val="00D03041"/>
    <w:rsid w:val="00D3476E"/>
    <w:rsid w:val="00D723F0"/>
    <w:rsid w:val="00DA1D7A"/>
    <w:rsid w:val="00DD5FD4"/>
    <w:rsid w:val="00EA5FD5"/>
    <w:rsid w:val="00EC0D9C"/>
    <w:rsid w:val="00EC2C77"/>
    <w:rsid w:val="00EC4D29"/>
    <w:rsid w:val="00EF442B"/>
    <w:rsid w:val="00F75464"/>
    <w:rsid w:val="00FC4CB7"/>
    <w:rsid w:val="00FC5F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CE8D08"/>
  <w15:chartTrackingRefBased/>
  <w15:docId w15:val="{983904AA-A1CA-4272-BF73-C81C8DAF8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fr-FR"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02E7"/>
  </w:style>
  <w:style w:type="paragraph" w:styleId="Titre1">
    <w:name w:val="heading 1"/>
    <w:basedOn w:val="Normal"/>
    <w:next w:val="Normal"/>
    <w:link w:val="Titre1Car"/>
    <w:uiPriority w:val="9"/>
    <w:qFormat/>
    <w:rsid w:val="000D02E7"/>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Titre2">
    <w:name w:val="heading 2"/>
    <w:basedOn w:val="Normal"/>
    <w:next w:val="Normal"/>
    <w:link w:val="Titre2Car"/>
    <w:uiPriority w:val="9"/>
    <w:unhideWhenUsed/>
    <w:qFormat/>
    <w:rsid w:val="000D02E7"/>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Titre3">
    <w:name w:val="heading 3"/>
    <w:basedOn w:val="Normal"/>
    <w:next w:val="Normal"/>
    <w:link w:val="Titre3Car"/>
    <w:uiPriority w:val="9"/>
    <w:unhideWhenUsed/>
    <w:qFormat/>
    <w:rsid w:val="000D02E7"/>
    <w:pPr>
      <w:pBdr>
        <w:top w:val="single" w:sz="6" w:space="2" w:color="4472C4" w:themeColor="accent1"/>
      </w:pBdr>
      <w:spacing w:before="300" w:after="0"/>
      <w:outlineLvl w:val="2"/>
    </w:pPr>
    <w:rPr>
      <w:caps/>
      <w:color w:val="1F3763" w:themeColor="accent1" w:themeShade="7F"/>
      <w:spacing w:val="15"/>
    </w:rPr>
  </w:style>
  <w:style w:type="paragraph" w:styleId="Titre4">
    <w:name w:val="heading 4"/>
    <w:basedOn w:val="Normal"/>
    <w:next w:val="Normal"/>
    <w:link w:val="Titre4Car"/>
    <w:uiPriority w:val="9"/>
    <w:semiHidden/>
    <w:unhideWhenUsed/>
    <w:qFormat/>
    <w:rsid w:val="000D02E7"/>
    <w:pPr>
      <w:pBdr>
        <w:top w:val="dotted" w:sz="6" w:space="2" w:color="4472C4" w:themeColor="accent1"/>
      </w:pBdr>
      <w:spacing w:before="200" w:after="0"/>
      <w:outlineLvl w:val="3"/>
    </w:pPr>
    <w:rPr>
      <w:caps/>
      <w:color w:val="2F5496" w:themeColor="accent1" w:themeShade="BF"/>
      <w:spacing w:val="10"/>
    </w:rPr>
  </w:style>
  <w:style w:type="paragraph" w:styleId="Titre5">
    <w:name w:val="heading 5"/>
    <w:basedOn w:val="Normal"/>
    <w:next w:val="Normal"/>
    <w:link w:val="Titre5Car"/>
    <w:uiPriority w:val="9"/>
    <w:semiHidden/>
    <w:unhideWhenUsed/>
    <w:qFormat/>
    <w:rsid w:val="000D02E7"/>
    <w:pPr>
      <w:pBdr>
        <w:bottom w:val="single" w:sz="6" w:space="1" w:color="4472C4" w:themeColor="accent1"/>
      </w:pBdr>
      <w:spacing w:before="200" w:after="0"/>
      <w:outlineLvl w:val="4"/>
    </w:pPr>
    <w:rPr>
      <w:caps/>
      <w:color w:val="2F5496" w:themeColor="accent1" w:themeShade="BF"/>
      <w:spacing w:val="10"/>
    </w:rPr>
  </w:style>
  <w:style w:type="paragraph" w:styleId="Titre6">
    <w:name w:val="heading 6"/>
    <w:basedOn w:val="Normal"/>
    <w:next w:val="Normal"/>
    <w:link w:val="Titre6Car"/>
    <w:uiPriority w:val="9"/>
    <w:semiHidden/>
    <w:unhideWhenUsed/>
    <w:qFormat/>
    <w:rsid w:val="000D02E7"/>
    <w:pPr>
      <w:pBdr>
        <w:bottom w:val="dotted" w:sz="6" w:space="1" w:color="4472C4" w:themeColor="accent1"/>
      </w:pBdr>
      <w:spacing w:before="200" w:after="0"/>
      <w:outlineLvl w:val="5"/>
    </w:pPr>
    <w:rPr>
      <w:caps/>
      <w:color w:val="2F5496" w:themeColor="accent1" w:themeShade="BF"/>
      <w:spacing w:val="10"/>
    </w:rPr>
  </w:style>
  <w:style w:type="paragraph" w:styleId="Titre7">
    <w:name w:val="heading 7"/>
    <w:basedOn w:val="Normal"/>
    <w:next w:val="Normal"/>
    <w:link w:val="Titre7Car"/>
    <w:uiPriority w:val="9"/>
    <w:semiHidden/>
    <w:unhideWhenUsed/>
    <w:qFormat/>
    <w:rsid w:val="000D02E7"/>
    <w:pPr>
      <w:spacing w:before="200" w:after="0"/>
      <w:outlineLvl w:val="6"/>
    </w:pPr>
    <w:rPr>
      <w:caps/>
      <w:color w:val="2F5496" w:themeColor="accent1" w:themeShade="BF"/>
      <w:spacing w:val="10"/>
    </w:rPr>
  </w:style>
  <w:style w:type="paragraph" w:styleId="Titre8">
    <w:name w:val="heading 8"/>
    <w:basedOn w:val="Normal"/>
    <w:next w:val="Normal"/>
    <w:link w:val="Titre8Car"/>
    <w:uiPriority w:val="9"/>
    <w:semiHidden/>
    <w:unhideWhenUsed/>
    <w:qFormat/>
    <w:rsid w:val="000D02E7"/>
    <w:p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0D02E7"/>
    <w:p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D02E7"/>
    <w:rPr>
      <w:caps/>
      <w:color w:val="FFFFFF" w:themeColor="background1"/>
      <w:spacing w:val="15"/>
      <w:sz w:val="22"/>
      <w:szCs w:val="22"/>
      <w:shd w:val="clear" w:color="auto" w:fill="4472C4" w:themeFill="accent1"/>
    </w:rPr>
  </w:style>
  <w:style w:type="character" w:customStyle="1" w:styleId="Titre2Car">
    <w:name w:val="Titre 2 Car"/>
    <w:basedOn w:val="Policepardfaut"/>
    <w:link w:val="Titre2"/>
    <w:uiPriority w:val="9"/>
    <w:rsid w:val="000D02E7"/>
    <w:rPr>
      <w:caps/>
      <w:spacing w:val="15"/>
      <w:shd w:val="clear" w:color="auto" w:fill="D9E2F3" w:themeFill="accent1" w:themeFillTint="33"/>
    </w:rPr>
  </w:style>
  <w:style w:type="character" w:customStyle="1" w:styleId="Titre3Car">
    <w:name w:val="Titre 3 Car"/>
    <w:basedOn w:val="Policepardfaut"/>
    <w:link w:val="Titre3"/>
    <w:uiPriority w:val="9"/>
    <w:rsid w:val="000D02E7"/>
    <w:rPr>
      <w:caps/>
      <w:color w:val="1F3763" w:themeColor="accent1" w:themeShade="7F"/>
      <w:spacing w:val="15"/>
    </w:rPr>
  </w:style>
  <w:style w:type="character" w:customStyle="1" w:styleId="Titre4Car">
    <w:name w:val="Titre 4 Car"/>
    <w:basedOn w:val="Policepardfaut"/>
    <w:link w:val="Titre4"/>
    <w:uiPriority w:val="9"/>
    <w:semiHidden/>
    <w:rsid w:val="000D02E7"/>
    <w:rPr>
      <w:caps/>
      <w:color w:val="2F5496" w:themeColor="accent1" w:themeShade="BF"/>
      <w:spacing w:val="10"/>
    </w:rPr>
  </w:style>
  <w:style w:type="character" w:customStyle="1" w:styleId="Titre5Car">
    <w:name w:val="Titre 5 Car"/>
    <w:basedOn w:val="Policepardfaut"/>
    <w:link w:val="Titre5"/>
    <w:uiPriority w:val="9"/>
    <w:semiHidden/>
    <w:rsid w:val="000D02E7"/>
    <w:rPr>
      <w:caps/>
      <w:color w:val="2F5496" w:themeColor="accent1" w:themeShade="BF"/>
      <w:spacing w:val="10"/>
    </w:rPr>
  </w:style>
  <w:style w:type="character" w:customStyle="1" w:styleId="Titre6Car">
    <w:name w:val="Titre 6 Car"/>
    <w:basedOn w:val="Policepardfaut"/>
    <w:link w:val="Titre6"/>
    <w:uiPriority w:val="9"/>
    <w:semiHidden/>
    <w:rsid w:val="000D02E7"/>
    <w:rPr>
      <w:caps/>
      <w:color w:val="2F5496" w:themeColor="accent1" w:themeShade="BF"/>
      <w:spacing w:val="10"/>
    </w:rPr>
  </w:style>
  <w:style w:type="character" w:customStyle="1" w:styleId="Titre7Car">
    <w:name w:val="Titre 7 Car"/>
    <w:basedOn w:val="Policepardfaut"/>
    <w:link w:val="Titre7"/>
    <w:uiPriority w:val="9"/>
    <w:semiHidden/>
    <w:rsid w:val="000D02E7"/>
    <w:rPr>
      <w:caps/>
      <w:color w:val="2F5496" w:themeColor="accent1" w:themeShade="BF"/>
      <w:spacing w:val="10"/>
    </w:rPr>
  </w:style>
  <w:style w:type="character" w:customStyle="1" w:styleId="Titre8Car">
    <w:name w:val="Titre 8 Car"/>
    <w:basedOn w:val="Policepardfaut"/>
    <w:link w:val="Titre8"/>
    <w:uiPriority w:val="9"/>
    <w:semiHidden/>
    <w:rsid w:val="000D02E7"/>
    <w:rPr>
      <w:caps/>
      <w:spacing w:val="10"/>
      <w:sz w:val="18"/>
      <w:szCs w:val="18"/>
    </w:rPr>
  </w:style>
  <w:style w:type="character" w:customStyle="1" w:styleId="Titre9Car">
    <w:name w:val="Titre 9 Car"/>
    <w:basedOn w:val="Policepardfaut"/>
    <w:link w:val="Titre9"/>
    <w:uiPriority w:val="9"/>
    <w:semiHidden/>
    <w:rsid w:val="000D02E7"/>
    <w:rPr>
      <w:i/>
      <w:iCs/>
      <w:caps/>
      <w:spacing w:val="10"/>
      <w:sz w:val="18"/>
      <w:szCs w:val="18"/>
    </w:rPr>
  </w:style>
  <w:style w:type="paragraph" w:styleId="Lgende">
    <w:name w:val="caption"/>
    <w:basedOn w:val="Normal"/>
    <w:next w:val="Normal"/>
    <w:uiPriority w:val="35"/>
    <w:semiHidden/>
    <w:unhideWhenUsed/>
    <w:qFormat/>
    <w:rsid w:val="000D02E7"/>
    <w:rPr>
      <w:b/>
      <w:bCs/>
      <w:color w:val="2F5496" w:themeColor="accent1" w:themeShade="BF"/>
      <w:sz w:val="16"/>
      <w:szCs w:val="16"/>
    </w:rPr>
  </w:style>
  <w:style w:type="paragraph" w:styleId="Titre">
    <w:name w:val="Title"/>
    <w:basedOn w:val="Normal"/>
    <w:next w:val="Normal"/>
    <w:link w:val="TitreCar"/>
    <w:uiPriority w:val="10"/>
    <w:qFormat/>
    <w:rsid w:val="000D02E7"/>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reCar">
    <w:name w:val="Titre Car"/>
    <w:basedOn w:val="Policepardfaut"/>
    <w:link w:val="Titre"/>
    <w:uiPriority w:val="10"/>
    <w:rsid w:val="000D02E7"/>
    <w:rPr>
      <w:rFonts w:asciiTheme="majorHAnsi" w:eastAsiaTheme="majorEastAsia" w:hAnsiTheme="majorHAnsi" w:cstheme="majorBidi"/>
      <w:caps/>
      <w:color w:val="4472C4" w:themeColor="accent1"/>
      <w:spacing w:val="10"/>
      <w:sz w:val="52"/>
      <w:szCs w:val="52"/>
    </w:rPr>
  </w:style>
  <w:style w:type="paragraph" w:styleId="Sous-titre">
    <w:name w:val="Subtitle"/>
    <w:basedOn w:val="Normal"/>
    <w:next w:val="Normal"/>
    <w:link w:val="Sous-titreCar"/>
    <w:uiPriority w:val="11"/>
    <w:qFormat/>
    <w:rsid w:val="000D02E7"/>
    <w:pPr>
      <w:spacing w:before="0" w:after="500" w:line="240" w:lineRule="auto"/>
    </w:pPr>
    <w:rPr>
      <w:caps/>
      <w:color w:val="595959" w:themeColor="text1" w:themeTint="A6"/>
      <w:spacing w:val="10"/>
      <w:sz w:val="21"/>
      <w:szCs w:val="21"/>
    </w:rPr>
  </w:style>
  <w:style w:type="character" w:customStyle="1" w:styleId="Sous-titreCar">
    <w:name w:val="Sous-titre Car"/>
    <w:basedOn w:val="Policepardfaut"/>
    <w:link w:val="Sous-titre"/>
    <w:uiPriority w:val="11"/>
    <w:rsid w:val="000D02E7"/>
    <w:rPr>
      <w:caps/>
      <w:color w:val="595959" w:themeColor="text1" w:themeTint="A6"/>
      <w:spacing w:val="10"/>
      <w:sz w:val="21"/>
      <w:szCs w:val="21"/>
    </w:rPr>
  </w:style>
  <w:style w:type="character" w:styleId="lev">
    <w:name w:val="Strong"/>
    <w:qFormat/>
    <w:rsid w:val="000D02E7"/>
    <w:rPr>
      <w:b/>
      <w:bCs/>
    </w:rPr>
  </w:style>
  <w:style w:type="character" w:styleId="Accentuation">
    <w:name w:val="Emphasis"/>
    <w:uiPriority w:val="20"/>
    <w:qFormat/>
    <w:rsid w:val="000D02E7"/>
    <w:rPr>
      <w:caps/>
      <w:color w:val="1F3763" w:themeColor="accent1" w:themeShade="7F"/>
      <w:spacing w:val="5"/>
    </w:rPr>
  </w:style>
  <w:style w:type="paragraph" w:styleId="Sansinterligne">
    <w:name w:val="No Spacing"/>
    <w:uiPriority w:val="1"/>
    <w:qFormat/>
    <w:rsid w:val="000D02E7"/>
    <w:pPr>
      <w:spacing w:after="0" w:line="240" w:lineRule="auto"/>
    </w:pPr>
  </w:style>
  <w:style w:type="paragraph" w:styleId="Citation">
    <w:name w:val="Quote"/>
    <w:basedOn w:val="Normal"/>
    <w:next w:val="Normal"/>
    <w:link w:val="CitationCar"/>
    <w:uiPriority w:val="29"/>
    <w:qFormat/>
    <w:rsid w:val="000D02E7"/>
    <w:rPr>
      <w:i/>
      <w:iCs/>
      <w:sz w:val="24"/>
      <w:szCs w:val="24"/>
    </w:rPr>
  </w:style>
  <w:style w:type="character" w:customStyle="1" w:styleId="CitationCar">
    <w:name w:val="Citation Car"/>
    <w:basedOn w:val="Policepardfaut"/>
    <w:link w:val="Citation"/>
    <w:uiPriority w:val="29"/>
    <w:rsid w:val="000D02E7"/>
    <w:rPr>
      <w:i/>
      <w:iCs/>
      <w:sz w:val="24"/>
      <w:szCs w:val="24"/>
    </w:rPr>
  </w:style>
  <w:style w:type="paragraph" w:styleId="Citationintense">
    <w:name w:val="Intense Quote"/>
    <w:basedOn w:val="Normal"/>
    <w:next w:val="Normal"/>
    <w:link w:val="CitationintenseCar"/>
    <w:uiPriority w:val="30"/>
    <w:qFormat/>
    <w:rsid w:val="000D02E7"/>
    <w:pPr>
      <w:spacing w:before="240" w:after="240" w:line="240" w:lineRule="auto"/>
      <w:ind w:left="1080" w:right="1080"/>
      <w:jc w:val="center"/>
    </w:pPr>
    <w:rPr>
      <w:color w:val="4472C4" w:themeColor="accent1"/>
      <w:sz w:val="24"/>
      <w:szCs w:val="24"/>
    </w:rPr>
  </w:style>
  <w:style w:type="character" w:customStyle="1" w:styleId="CitationintenseCar">
    <w:name w:val="Citation intense Car"/>
    <w:basedOn w:val="Policepardfaut"/>
    <w:link w:val="Citationintense"/>
    <w:uiPriority w:val="30"/>
    <w:rsid w:val="000D02E7"/>
    <w:rPr>
      <w:color w:val="4472C4" w:themeColor="accent1"/>
      <w:sz w:val="24"/>
      <w:szCs w:val="24"/>
    </w:rPr>
  </w:style>
  <w:style w:type="character" w:styleId="Accentuationlgre">
    <w:name w:val="Subtle Emphasis"/>
    <w:uiPriority w:val="19"/>
    <w:qFormat/>
    <w:rsid w:val="000D02E7"/>
    <w:rPr>
      <w:i/>
      <w:iCs/>
      <w:color w:val="1F3763" w:themeColor="accent1" w:themeShade="7F"/>
    </w:rPr>
  </w:style>
  <w:style w:type="character" w:styleId="Accentuationintense">
    <w:name w:val="Intense Emphasis"/>
    <w:uiPriority w:val="21"/>
    <w:qFormat/>
    <w:rsid w:val="000D02E7"/>
    <w:rPr>
      <w:b/>
      <w:bCs/>
      <w:caps/>
      <w:color w:val="1F3763" w:themeColor="accent1" w:themeShade="7F"/>
      <w:spacing w:val="10"/>
    </w:rPr>
  </w:style>
  <w:style w:type="character" w:styleId="Rfrencelgre">
    <w:name w:val="Subtle Reference"/>
    <w:uiPriority w:val="31"/>
    <w:qFormat/>
    <w:rsid w:val="000D02E7"/>
    <w:rPr>
      <w:b/>
      <w:bCs/>
      <w:color w:val="4472C4" w:themeColor="accent1"/>
    </w:rPr>
  </w:style>
  <w:style w:type="character" w:styleId="Rfrenceintense">
    <w:name w:val="Intense Reference"/>
    <w:uiPriority w:val="32"/>
    <w:qFormat/>
    <w:rsid w:val="000D02E7"/>
    <w:rPr>
      <w:b/>
      <w:bCs/>
      <w:i/>
      <w:iCs/>
      <w:caps/>
      <w:color w:val="4472C4" w:themeColor="accent1"/>
    </w:rPr>
  </w:style>
  <w:style w:type="character" w:styleId="Titredulivre">
    <w:name w:val="Book Title"/>
    <w:uiPriority w:val="33"/>
    <w:qFormat/>
    <w:rsid w:val="000D02E7"/>
    <w:rPr>
      <w:b/>
      <w:bCs/>
      <w:i/>
      <w:iCs/>
      <w:spacing w:val="0"/>
    </w:rPr>
  </w:style>
  <w:style w:type="paragraph" w:styleId="En-ttedetabledesmatires">
    <w:name w:val="TOC Heading"/>
    <w:basedOn w:val="Titre1"/>
    <w:next w:val="Normal"/>
    <w:uiPriority w:val="39"/>
    <w:semiHidden/>
    <w:unhideWhenUsed/>
    <w:qFormat/>
    <w:rsid w:val="000D02E7"/>
    <w:pPr>
      <w:outlineLvl w:val="9"/>
    </w:pPr>
  </w:style>
  <w:style w:type="paragraph" w:customStyle="1" w:styleId="Default">
    <w:name w:val="Default"/>
    <w:rsid w:val="000D02E7"/>
    <w:pPr>
      <w:autoSpaceDE w:val="0"/>
      <w:autoSpaceDN w:val="0"/>
      <w:adjustRightInd w:val="0"/>
      <w:spacing w:after="0" w:line="240" w:lineRule="auto"/>
    </w:pPr>
    <w:rPr>
      <w:rFonts w:ascii="Calibri" w:eastAsia="Times New Roman" w:hAnsi="Calibri" w:cs="Calibri"/>
      <w:color w:val="000000"/>
      <w:sz w:val="24"/>
      <w:szCs w:val="24"/>
      <w:lang w:eastAsia="fr-FR"/>
    </w:rPr>
  </w:style>
  <w:style w:type="paragraph" w:styleId="Paragraphedeliste">
    <w:name w:val="List Paragraph"/>
    <w:basedOn w:val="Normal"/>
    <w:uiPriority w:val="34"/>
    <w:qFormat/>
    <w:rsid w:val="00457CFE"/>
    <w:pPr>
      <w:ind w:left="720"/>
      <w:contextualSpacing/>
    </w:pPr>
  </w:style>
  <w:style w:type="character" w:customStyle="1" w:styleId="acopre">
    <w:name w:val="acopre"/>
    <w:basedOn w:val="Policepardfaut"/>
    <w:rsid w:val="009412B1"/>
  </w:style>
  <w:style w:type="paragraph" w:styleId="En-tte">
    <w:name w:val="header"/>
    <w:basedOn w:val="Normal"/>
    <w:link w:val="En-tteCar"/>
    <w:uiPriority w:val="99"/>
    <w:unhideWhenUsed/>
    <w:rsid w:val="009B2DCA"/>
    <w:pPr>
      <w:tabs>
        <w:tab w:val="center" w:pos="4536"/>
        <w:tab w:val="right" w:pos="9072"/>
      </w:tabs>
      <w:spacing w:before="0" w:after="0" w:line="240" w:lineRule="auto"/>
    </w:pPr>
  </w:style>
  <w:style w:type="character" w:customStyle="1" w:styleId="En-tteCar">
    <w:name w:val="En-tête Car"/>
    <w:basedOn w:val="Policepardfaut"/>
    <w:link w:val="En-tte"/>
    <w:uiPriority w:val="99"/>
    <w:rsid w:val="009B2DCA"/>
  </w:style>
  <w:style w:type="paragraph" w:styleId="Pieddepage">
    <w:name w:val="footer"/>
    <w:basedOn w:val="Normal"/>
    <w:link w:val="PieddepageCar"/>
    <w:uiPriority w:val="99"/>
    <w:unhideWhenUsed/>
    <w:rsid w:val="009B2DCA"/>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9B2DCA"/>
  </w:style>
  <w:style w:type="paragraph" w:styleId="Rvision">
    <w:name w:val="Revision"/>
    <w:hidden/>
    <w:uiPriority w:val="99"/>
    <w:semiHidden/>
    <w:rsid w:val="00362A5C"/>
    <w:pPr>
      <w:spacing w:before="0"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1608</Words>
  <Characters>8847</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Virginie Eve Lvovschi</dc:creator>
  <cp:keywords/>
  <dc:description/>
  <cp:lastModifiedBy>Virginie Eve Lvovschi</cp:lastModifiedBy>
  <cp:revision>8</cp:revision>
  <dcterms:created xsi:type="dcterms:W3CDTF">2021-11-25T16:58:00Z</dcterms:created>
  <dcterms:modified xsi:type="dcterms:W3CDTF">2021-12-07T10:07:00Z</dcterms:modified>
</cp:coreProperties>
</file>